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0" w:afterAutospacing="0" w:line="540" w:lineRule="exact"/>
        <w:rPr>
          <w:rFonts w:ascii="仿宋" w:hAnsi="仿宋" w:eastAsia="仿宋" w:cs="仿宋"/>
          <w:color w:val="000000"/>
          <w:sz w:val="28"/>
          <w:szCs w:val="28"/>
        </w:rPr>
      </w:pPr>
      <w:r>
        <w:rPr>
          <w:rFonts w:hint="eastAsia" w:ascii="仿宋" w:hAnsi="仿宋" w:eastAsia="仿宋" w:cs="仿宋"/>
          <w:color w:val="000000"/>
          <w:sz w:val="28"/>
          <w:szCs w:val="28"/>
        </w:rPr>
        <w:t>附件2</w:t>
      </w:r>
    </w:p>
    <w:p>
      <w:pPr>
        <w:pStyle w:val="15"/>
        <w:spacing w:before="240" w:beforeAutospacing="0" w:after="240" w:afterAutospacing="0" w:line="540" w:lineRule="exact"/>
        <w:jc w:val="center"/>
        <w:rPr>
          <w:rFonts w:ascii="仿宋" w:hAnsi="仿宋" w:eastAsia="仿宋" w:cs="仿宋"/>
          <w:b/>
          <w:bCs/>
          <w:sz w:val="36"/>
          <w:szCs w:val="36"/>
        </w:rPr>
      </w:pPr>
      <w:r>
        <w:rPr>
          <w:rFonts w:hint="eastAsia" w:ascii="仿宋" w:hAnsi="仿宋" w:eastAsia="仿宋" w:cs="仿宋"/>
          <w:b/>
          <w:bCs/>
          <w:sz w:val="36"/>
          <w:szCs w:val="36"/>
        </w:rPr>
        <w:t>竞买须知</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一、竞价标的：海南永安家具实业有限公司债权、海南仁益妇女儿童医院有限公司债权。</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竞价起拍价：16,600万元，竞价保证金：500万元，增价幅度：10万元或其整数倍。</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二、交易对象：具有完全民事行为能力、支付能力的法人、非法人组织或自然人，但以下主体不得购买：</w:t>
      </w:r>
    </w:p>
    <w:p>
      <w:pPr>
        <w:pStyle w:val="15"/>
        <w:spacing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 xml:space="preserve">（一）国家公务员、金融资产管理公司工作人员； </w:t>
      </w:r>
    </w:p>
    <w:p>
      <w:pPr>
        <w:pStyle w:val="15"/>
        <w:spacing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 xml:space="preserve">（二）该项资产处置工作相关中介机构所属人员； </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 xml:space="preserve">（三）债务人、担保人为自然人的，其本人及其直系亲属； </w:t>
      </w:r>
    </w:p>
    <w:p>
      <w:pPr>
        <w:pStyle w:val="15"/>
        <w:spacing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 xml:space="preserve">（四）债务企业的控股股东、实际控制人及其控股下属公司，担保企业及其控股下属公司，债务企业的其他关联企业； </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 xml:space="preserve">（五）上述主体出资成立的法人机构或特殊目的实体； </w:t>
      </w:r>
    </w:p>
    <w:p>
      <w:pPr>
        <w:pStyle w:val="15"/>
        <w:spacing w:before="0" w:beforeAutospacing="0" w:after="0" w:afterAutospacing="0"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（六）国家金融监督管理总局认定的其他不宜受让的主体；</w:t>
      </w:r>
    </w:p>
    <w:p>
      <w:pPr>
        <w:pStyle w:val="15"/>
        <w:spacing w:before="0" w:beforeAutospacing="0" w:after="0" w:afterAutospacing="0"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（七）《关于审理涉及金融不良债权转让案件工作座谈会纪要》（法发〔2009〕19号附件）等相关法律、法规、司法解释及文件所述可能导致转让无效或不宜受让的主体；</w:t>
      </w:r>
    </w:p>
    <w:p>
      <w:pPr>
        <w:pStyle w:val="15"/>
        <w:spacing w:before="0" w:beforeAutospacing="0" w:after="0" w:afterAutospacing="0"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（八）国际、国内有权机关或权威机构认定的洗钱黑名单主体及其关联主体；</w:t>
      </w:r>
    </w:p>
    <w:p>
      <w:pPr>
        <w:pStyle w:val="15"/>
        <w:spacing w:before="0" w:beforeAutospacing="0" w:after="0" w:afterAutospacing="0" w:line="54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（九）失信被执行人或其关联主体；</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（十）涉黑、涉恶犯罪主体或其关联主体。</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竞买人支付转让价款的资金来源应合法、合规，且为竞买人依法可支配的财产。</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三、竞价标的为海南永安家具实业有限公司债权、海南仁益妇女儿童医院有限公司债权（本次竞价标的信息请见发布的相关内容），有意者请自行多方位了解该竞价标的情况，中国长城资产管理股份有限公司海南省分公司（以下简称“长城海南分公司”）仅提供参考资料。</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四、该资产处置须有一人报名并缴纳相应竞价保证金方可进入竞价程序。</w:t>
      </w:r>
    </w:p>
    <w:p>
      <w:pPr>
        <w:pStyle w:val="15"/>
        <w:tabs>
          <w:tab w:val="left" w:pos="2977"/>
        </w:tabs>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若竞价中仅有一人出价，长城海南分公司将按照公告程序补登公告，公告之日起3个工作日后，如无新的竞买人报名参加竞价，第一次竞价的出价者为最终买受人，如有新的竞买人报名参加竞价的，则需要重新履行竞价程序。</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五、本次竞价活动设置延时出价功能，在竞价活动结束前，每最后5分钟如果有竞买人出价，则自动延迟5分钟。 </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六、网络竞价方式：设有起拍价的增价竞价方式。 </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七、竞价保证金规则：</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bCs/>
          <w:sz w:val="28"/>
          <w:szCs w:val="28"/>
        </w:rPr>
        <w:t>（一）</w:t>
      </w:r>
      <w:r>
        <w:rPr>
          <w:rFonts w:hint="eastAsia" w:ascii="仿宋" w:hAnsi="仿宋" w:eastAsia="仿宋" w:cs="仿宋"/>
          <w:sz w:val="28"/>
          <w:szCs w:val="28"/>
        </w:rPr>
        <w:t>竞拍前，竞买人须在京东网络平台注册账号并通过实名认证（已注册账号需通过实名认证）。竞买人在对标的物第一次确认出价竞拍前，按网络资产竞价平台服务系统提示在线报名缴纳保证金（因保证金金额较大，请提前开通网银支付的大额支付功能，或前往银行柜台办理提高网银支付限额的相关业务），支付后系统会自动冻结该笔保证金。具体要求请阅读竞价页面内的《竞拍须知》、《保证金须知》及京东拍卖网络竞价平台告知的竞价流程（竞价前必看）的相关准则。</w:t>
      </w:r>
    </w:p>
    <w:p>
      <w:pPr>
        <w:pStyle w:val="5"/>
        <w:shd w:val="clear" w:color="auto" w:fill="FFFFFF"/>
        <w:wordWrap w:val="0"/>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竞价成交的，本标的物竞得者（以下称买受人）冻结的保证金将自动转为与中国长城资产管理股份有限公司海南分公司签署《债权转让协议》的缔约定金（不计利息），由京东拍卖网络竞价平台结算给中国长城资产管理股份有限公司海南分公司。竞价结束后未能竞得者的保证金以及竞价未成交的（即流拍的）竞买人的保证金在竞价活动结束后即时解冻，保证金冻结期间不计利息。</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（二）下列情况，竞买人缴纳的竞价保证金归长城海南分公司所有：</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1.竞买人在竞价过程中违反竞价规则，扰乱竞价秩序的；</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2.竞买人未在产生最终成交价之日（含当日）起5日内签订《债权转让协议》或未按规定在《债权转让协议》签署之日起5个工作日内向我司支付款项（及其他费用）的；</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3.竞买人签订《债权转让协议》时，提出附加条件或者更改合同实质性内容的；</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4.竞买人未按《成交确认书》和《债权转让协议》约定的付款期限付清全部款项的；</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5.竞买人未按交易条件的要求完成标的交付交接的；</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6.竞买人出现下列恶意炒作及市场操纵情形的：1）捏造散布涨价信息；2）恶意囤货；3）哄抬价格谋取暴利；4）其他通过非正当手段扰乱市场的行为；</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7.竞买人不符合竞买人条件的。</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八、违约责任：</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一）买受人未在产生最终成交价之日（含当日）起5个工作日内向长城海南分公司提交完整的主体资格证明及反洗钱所需的相关资料并签订《债权转让协议》的，应当承担违约责任，长城海南分公司可没收买受人支付的竞价保证金并将竞价标的再行出售。竞价标的再行出售的，原买受人应当支付第一次竞价中本人及委托人应当支付的交易服务费。再行出售成交价款低于原成交价款的，原买受人应当补足差额。</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（二）竞价标的竞买成交后，请买受人根据《债权转让协议》的约定到长城海南分公司办理资产档案移交手续。买受人未按照约定受领标的的，应当支付由此产生的保管费用。 </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九、重要提示：</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(一)竞买人报名并缴纳相关竞价保证金，视为作出如下陈述：</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1.竞买人资格。竞买人是具有完全民事行为能力、支付能力的法人、非法人组织或自然人，且不属于以下主体：</w:t>
      </w:r>
      <w:r>
        <w:rPr>
          <w:rFonts w:hint="eastAsia" w:ascii="仿宋" w:hAnsi="仿宋" w:eastAsia="仿宋" w:cs="仿宋"/>
          <w:sz w:val="28"/>
          <w:szCs w:val="28"/>
          <w:lang w:bidi="ar"/>
        </w:rPr>
        <w:t>（1）国家公务员、金融资产管理公司工作人员；（2）该项资产处置工作相关中介机构所属人员；（3）债务人、担保人为自然人的，其本人及其直系亲属；（4）债务企业的控股股东、实际控制人及其控股下属公司，担保企业及其控股下属公司，债务企业的其他关联企业；（5）上述主体出资成立的法人机构或特殊目的实体；（6）国家金融监督管理总局认定的其他不宜受让的主体；（7）最高人民法院《关于审理涉及金融不良债权转让案件工作座谈会纪要》所述的不得受让此类金融资产的主体；（8）</w:t>
      </w:r>
      <w:r>
        <w:rPr>
          <w:rFonts w:hint="eastAsia" w:ascii="仿宋" w:hAnsi="仿宋" w:eastAsia="仿宋" w:cs="仿宋"/>
          <w:sz w:val="28"/>
          <w:szCs w:val="28"/>
        </w:rPr>
        <w:t>失信被执行人及其关联主体、国际和国内权威反洗钱组织或机构发布洗钱黑名单所载主体等相关不宜受让</w:t>
      </w:r>
      <w:r>
        <w:rPr>
          <w:rFonts w:hint="eastAsia" w:ascii="仿宋" w:hAnsi="仿宋" w:eastAsia="仿宋" w:cs="仿宋"/>
          <w:sz w:val="28"/>
          <w:szCs w:val="28"/>
          <w:lang w:bidi="ar"/>
        </w:rPr>
        <w:t>此类金融资产</w:t>
      </w:r>
      <w:r>
        <w:rPr>
          <w:rFonts w:hint="eastAsia" w:ascii="仿宋" w:hAnsi="仿宋" w:eastAsia="仿宋" w:cs="仿宋"/>
          <w:sz w:val="28"/>
          <w:szCs w:val="28"/>
        </w:rPr>
        <w:t>的主体。</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竞买人支付转让价款的资金来源合法、合规，且为竞买人依法可支配的财产。</w:t>
      </w:r>
    </w:p>
    <w:p>
      <w:pPr>
        <w:pStyle w:val="15"/>
        <w:numPr>
          <w:ilvl w:val="0"/>
          <w:numId w:val="1"/>
        </w:numPr>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交易文件知悉。竞买人已经仔细阅读并理解了长城海南分公司发布的《竞买公告》、《竞买须知》等文件，并完全接受上述文件所规定的交易条件，没有任何异议。</w:t>
      </w:r>
    </w:p>
    <w:p>
      <w:pPr>
        <w:pStyle w:val="15"/>
        <w:numPr>
          <w:ilvl w:val="0"/>
          <w:numId w:val="1"/>
        </w:numPr>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风险和瑕疵知悉。长城海南分公司已经对竞价标的的来源、瑕疵和风险进行了充分的提示和披露，竞买人已经对竞价标的的来源、瑕疵和风险进行了充分尽职调查，完全知悉并接受竞价标的的所有瑕疵、风险。</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4.竞买人已被告知并完全理解，竞买人受让债权后，由于相关法律法规规章政策限制，导致竞买人能够行使的竞价标的数额可能小于竞价标的介绍中列明的竞价标的数额。相关法律法规规章政策包括但不限于：</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a.《关于审理涉及金融不良债权转让案件工作座谈会纪要》(法发[2009]19号)：受让人向国有企业债务人主张利息的计算基数应当以原借款合同本金为准；受让人向国有企业债务人主张不良债权受让日之后发生的利息的，人民法院不予支持。其中，国有企业债务人包括国有独资、国有控股的企业法人。受让人是指非金融资产管理公司法人、自然人；</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b.《中华人民共和国民法典》第五百四十七条第一款：债权人转让债权的，受让人取得与债权有关的从权利，但是该权利专属于债权人自身的除外。</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c.《关于印发&lt;人民币利率管理&gt;规定的通知》（银发[1999]77号）相关规定。</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5.竞买人已被告知并完全理解，竞买人成为买受人并受让竞价标的后，对该竞价标的在基准日以后产生的利息、违约金的请求权，买受人可能无法继续享有。</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6.竞买人已被告知并完全理解，竞买人成为买受人并受让竞价标的后，可能无法享有长城海南分公司所享有的国家法律政策规定的各项优惠条件和特殊保护，包括但不限于税收和诉讼方面的优惠和特殊保护。</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7.竞买人已被告知、仔细阅读并完全理解竞价标的介绍揭示的风险，自愿承担由上述风险造成的一切损失以及不能获得相应预期利益的后果。竞买人已经知悉，竞价标的可能存在着瑕疵或尚未发现的缺陷，包括但不限于下列一项或多项：</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a.与竞价标的相关的债务人和/或担保人和/或第三方存在破产、被解散、被注销、被撤销、被关闭、被吊销、歇业、下落不明以及其他主体存续性瑕疵的情形；</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b.竞价标的可能存在已超过诉讼时效、丧失保证期间等相关的法定期间、因其他原因已部分消灭或不能被强制执行的情形；</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c.竞价标的可能存在未生效、无效或被撤销的情形；</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d.竞价标的文件对于竞价标的的行使可能存在不完整、原件缺失或内容冲突等相关情形；</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e.担保合同可能存在主债权未经担保人同意不可转让或担保人只对特定债权人承担担保责任的情形；</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f.担保物、抵债资产存在灭失、毁损或存在欠缴税费、无相关权属证明、无法办理权属变更手续、不能实际占有、丧失使用价值或其他减损担保物、抵债资产价值的相关情形；</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g.涉诉竞价标的可能存在败诉、不能变更诉讼主体、执行主体等诉讼风险；</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h.竞价标的可能存在欠缴各种诉讼费用的情形；</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I.竞价标的债权项下抵押土地可能涉及违法建筑的情形。</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（二）竞买人成为买受人后的特别承诺：</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1.竞买人承诺，竞买成功后，在交接期间内，当长城海南分公司将竞价标的文件交付给竞买人时，竞买人应及时受领竞价标的文件并在随附的竞价标的文件清单上签字。如竞买人不及时受领竞价标的文件，则自愿承担迟延受领竞价标的文件所产生的一切法律后果。在交接期后，竞买人无权再就竞价标的文件及其交付范围向长城海南分公司提出任何主张。</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2.风险和瑕疵概括承受。竞买人承诺，一旦竞买成交，竞买人作为买受人将按照竞价标的的基准日现状受让竞价标的，接受竞价标的的瑕疵和风险，不因竞价标的的来源、瑕疵和风险，而请求长城海南分公司或原债权人承担相应责任，或以此作为竞买人履行约定或法定义务的抗辩。竞价标的自基准日至竞价标的移转给买受人之日发生变化的，买受人承认并接受该变化，不因竞价标的的变化而请求长城海南分公司或原债权人承担相应的责任，或以此作为竞买人履行约定或法定义务的抗辩。</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3.竞买人同意并保证，竞买人一旦成为买受人，如果竞价标的中存在该等能够追究原债权人任何法律责任的权利，竞买人承诺放弃并承诺在其与后手签署的协议中要求后手也放弃该等权利，并不以任何方式向长城海南分公司及原债权人追究任何法律责任。</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竞买人在正式竞价活动开始前请务必再仔细阅读长城海南分公司的《竞买须知》、《竞买公告》等有关文件。</w:t>
      </w:r>
    </w:p>
    <w:p>
      <w:pPr>
        <w:pStyle w:val="15"/>
        <w:spacing w:before="0" w:beforeAutospacing="0" w:after="0" w:afterAutospacing="0" w:line="540" w:lineRule="exact"/>
        <w:ind w:firstLine="560" w:firstLineChars="200"/>
        <w:rPr>
          <w:rFonts w:ascii="仿宋" w:hAnsi="仿宋" w:eastAsia="仿宋" w:cs="仿宋"/>
          <w:b/>
          <w:sz w:val="28"/>
          <w:szCs w:val="28"/>
        </w:rPr>
      </w:pPr>
      <w:r>
        <w:rPr>
          <w:rFonts w:hint="eastAsia" w:ascii="仿宋" w:hAnsi="仿宋" w:eastAsia="仿宋" w:cs="仿宋"/>
          <w:sz w:val="28"/>
          <w:szCs w:val="28"/>
        </w:rPr>
        <w:t>十、竞买人主体资格证明材料要求：</w:t>
      </w:r>
    </w:p>
    <w:p>
      <w:pPr>
        <w:pStyle w:val="15"/>
        <w:spacing w:before="0" w:beforeAutospacing="0" w:after="0" w:afterAutospacing="0" w:line="540" w:lineRule="exact"/>
        <w:ind w:firstLine="560" w:firstLineChars="200"/>
        <w:rPr>
          <w:rFonts w:ascii="仿宋" w:hAnsi="仿宋" w:eastAsia="仿宋" w:cs="仿宋"/>
          <w:sz w:val="28"/>
          <w:szCs w:val="28"/>
        </w:rPr>
      </w:pPr>
      <w:r>
        <w:rPr>
          <w:rFonts w:hint="eastAsia" w:ascii="仿宋" w:hAnsi="仿宋" w:eastAsia="仿宋" w:cs="仿宋"/>
          <w:sz w:val="28"/>
          <w:szCs w:val="28"/>
        </w:rPr>
        <w:t>竞买人为境内企业和其他经济组织的，应当提交有效的营业执照（正本或副本）原件和复印件、</w:t>
      </w:r>
      <w:r>
        <w:rPr>
          <w:rFonts w:hint="eastAsia" w:ascii="仿宋" w:hAnsi="仿宋" w:eastAsia="仿宋" w:cs="仿宋"/>
          <w:bCs/>
          <w:sz w:val="28"/>
          <w:szCs w:val="28"/>
        </w:rPr>
        <w:t>截止至产生最终成交价之日（含当日）起3个工作日内的工</w:t>
      </w:r>
      <w:r>
        <w:rPr>
          <w:rFonts w:hint="eastAsia" w:ascii="仿宋" w:hAnsi="仿宋" w:eastAsia="仿宋" w:cs="仿宋"/>
          <w:sz w:val="28"/>
          <w:szCs w:val="28"/>
        </w:rPr>
        <w:t>商查册结果原件、法定代表人或负责人的居民身份证（护照）复印件、法定代表人或负责人的身份证明书，并在留存的复印件上加盖公章供查验。</w:t>
      </w:r>
    </w:p>
    <w:p>
      <w:p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竞买人为境内企业和其他经济组织的，其法定代表人或负责人委托代理人竞买的，应当提交法定代表人或负责人的居民身份证（护照）复印件、法定代表人或负责人的身份证明书及《授权委托书》，并在留存的复印件上加盖公章供查验。代理人在代理权限内实施竞买行为，《授权委托书》中的代理权限应当注明代为报价、签署《债权转让协议》等具体授权事项，因代理人实施竞价行为所产生的全部后果及责任，由委托人承担。代理人应当提交居民身份证（护照）等原件，并在留存的复印件上签字、按手印等供查验。</w:t>
      </w:r>
    </w:p>
    <w:p>
      <w:p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竞买人为境内自然人的，应当提交居民身份证（护照）等原件，并在留存的复印件上签字、按手印等供查验。</w:t>
      </w:r>
    </w:p>
    <w:p>
      <w:p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此外，竞买人还需提交《承诺函》并签章。</w:t>
      </w:r>
    </w:p>
    <w:p>
      <w:pPr>
        <w:spacing w:line="540" w:lineRule="exact"/>
        <w:ind w:firstLine="560" w:firstLineChars="200"/>
        <w:rPr>
          <w:rFonts w:ascii="仿宋" w:hAnsi="仿宋" w:eastAsia="仿宋" w:cs="仿宋"/>
          <w:kern w:val="0"/>
          <w:sz w:val="28"/>
          <w:szCs w:val="28"/>
        </w:rPr>
      </w:pPr>
    </w:p>
    <w:p>
      <w:pPr>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附件</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-1《授权委托书》</w:t>
      </w:r>
    </w:p>
    <w:p>
      <w:pPr>
        <w:spacing w:line="540" w:lineRule="exact"/>
        <w:ind w:firstLine="560" w:firstLineChars="200"/>
        <w:rPr>
          <w:rFonts w:ascii="仿宋" w:hAnsi="仿宋" w:eastAsia="仿宋" w:cs="仿宋"/>
          <w:sz w:val="28"/>
          <w:szCs w:val="28"/>
        </w:rPr>
      </w:pPr>
      <w:r>
        <w:rPr>
          <w:rFonts w:hint="eastAsia" w:ascii="仿宋" w:hAnsi="仿宋" w:eastAsia="仿宋" w:cs="仿宋"/>
          <w:kern w:val="0"/>
          <w:sz w:val="28"/>
          <w:szCs w:val="28"/>
        </w:rPr>
        <w:t>附件</w:t>
      </w:r>
      <w:r>
        <w:rPr>
          <w:rFonts w:hint="eastAsia" w:ascii="仿宋" w:hAnsi="仿宋" w:eastAsia="仿宋" w:cs="仿宋"/>
          <w:kern w:val="0"/>
          <w:sz w:val="28"/>
          <w:szCs w:val="28"/>
          <w:lang w:val="en-US" w:eastAsia="zh-CN"/>
        </w:rPr>
        <w:t>1</w:t>
      </w:r>
      <w:bookmarkStart w:id="0" w:name="_GoBack"/>
      <w:bookmarkEnd w:id="0"/>
      <w:r>
        <w:rPr>
          <w:rFonts w:hint="eastAsia" w:ascii="仿宋" w:hAnsi="仿宋" w:eastAsia="仿宋" w:cs="仿宋"/>
          <w:kern w:val="0"/>
          <w:sz w:val="28"/>
          <w:szCs w:val="28"/>
        </w:rPr>
        <w:t>-2《承诺函》</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VhbcEBAACM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Ps/q&#10;dAErSnoMlJb6D9DnzMmP5Mykex1d/hIdRnHS9njRVvWJyfxouVguSwpJip0vhFM8PQ8R00cFjmWj&#10;5pGGN2gqDveYxtRzSq7m4c5YS35RWf+PgzCzp8i9jz1mK/Xbfmp8C82R+HQ095p7WnPO7CdPsuYV&#10;ORvxbGwnI9fAcLtPVHjoJ6OOUFMxGtLAaFqovAXP70PW00+0/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ToVhbcEBAACM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91311F0000808E" w:val=" "/>
    <w:docVar w:name="65680FF700007158" w:val=" "/>
    <w:docVar w:name="656835350000AA3D" w:val=" "/>
    <w:docVar w:name="6662E3A400002186" w:val=" "/>
    <w:docVar w:name="667006B7000039F9" w:val=" "/>
    <w:docVar w:name="689170E600008107" w:val=" "/>
    <w:docVar w:name="689175600000FC2F" w:val=" "/>
    <w:docVar w:name="68917B39000059B7" w:val=" "/>
    <w:docVar w:name="68917B7B00005E94" w:val=" "/>
    <w:docVar w:name="68917BE30000F1C7" w:val=" "/>
    <w:docVar w:name="68917C330000A2A2" w:val=" "/>
    <w:docVar w:name="68F853D50000A880" w:val=" "/>
    <w:docVar w:name="commondata" w:val="eyJoZGlkIjoiNWZhMzM2ZGViMzFlYzFiNDU2YzMyZmEyODZiZDU4OTgifQ=="/>
  </w:docVars>
  <w:rsids>
    <w:rsidRoot w:val="00A32F8F"/>
    <w:rsid w:val="00A32F8F"/>
    <w:rsid w:val="00A47B1D"/>
    <w:rsid w:val="00BD6264"/>
    <w:rsid w:val="00C5638E"/>
    <w:rsid w:val="07946D32"/>
    <w:rsid w:val="0D9F6A53"/>
    <w:rsid w:val="10245471"/>
    <w:rsid w:val="166E2DBB"/>
    <w:rsid w:val="190C277C"/>
    <w:rsid w:val="1DAD23AB"/>
    <w:rsid w:val="25C53536"/>
    <w:rsid w:val="25E721C9"/>
    <w:rsid w:val="276140C2"/>
    <w:rsid w:val="288D0AE6"/>
    <w:rsid w:val="2DD3208D"/>
    <w:rsid w:val="2DF12EBC"/>
    <w:rsid w:val="2E652E2F"/>
    <w:rsid w:val="33D47D88"/>
    <w:rsid w:val="35732F06"/>
    <w:rsid w:val="35DF6369"/>
    <w:rsid w:val="38D65DCF"/>
    <w:rsid w:val="3BC73578"/>
    <w:rsid w:val="3E770653"/>
    <w:rsid w:val="499A1192"/>
    <w:rsid w:val="4ABD1159"/>
    <w:rsid w:val="4BB64F6D"/>
    <w:rsid w:val="4FD66B7B"/>
    <w:rsid w:val="5C5C3D78"/>
    <w:rsid w:val="5C695B61"/>
    <w:rsid w:val="60010145"/>
    <w:rsid w:val="64DA4635"/>
    <w:rsid w:val="6714199E"/>
    <w:rsid w:val="766C0931"/>
    <w:rsid w:val="78661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主题 Char"/>
    <w:basedOn w:val="9"/>
    <w:link w:val="10"/>
    <w:semiHidden/>
    <w:qFormat/>
    <w:uiPriority w:val="0"/>
    <w:rPr>
      <w:b/>
      <w:bCs/>
    </w:rPr>
  </w:style>
  <w:style w:type="character" w:customStyle="1" w:styleId="9">
    <w:name w:val="批注文字 字符"/>
    <w:basedOn w:val="7"/>
    <w:link w:val="2"/>
    <w:semiHidden/>
    <w:qFormat/>
    <w:uiPriority w:val="0"/>
  </w:style>
  <w:style w:type="paragraph" w:customStyle="1" w:styleId="10">
    <w:name w:val="批注主题1"/>
    <w:basedOn w:val="2"/>
    <w:next w:val="2"/>
    <w:link w:val="8"/>
    <w:qFormat/>
    <w:uiPriority w:val="0"/>
    <w:rPr>
      <w:b/>
      <w:bCs/>
    </w:rPr>
  </w:style>
  <w:style w:type="character" w:customStyle="1" w:styleId="11">
    <w:name w:val="批注框文本 Char"/>
    <w:basedOn w:val="7"/>
    <w:link w:val="12"/>
    <w:semiHidden/>
    <w:qFormat/>
    <w:uiPriority w:val="0"/>
    <w:rPr>
      <w:sz w:val="18"/>
      <w:szCs w:val="18"/>
    </w:rPr>
  </w:style>
  <w:style w:type="paragraph" w:customStyle="1" w:styleId="12">
    <w:name w:val="批注框文本1"/>
    <w:basedOn w:val="1"/>
    <w:link w:val="11"/>
    <w:qFormat/>
    <w:uiPriority w:val="0"/>
    <w:rPr>
      <w:sz w:val="18"/>
      <w:szCs w:val="18"/>
    </w:rPr>
  </w:style>
  <w:style w:type="character" w:customStyle="1" w:styleId="13">
    <w:name w:val="页脚 字符"/>
    <w:basedOn w:val="7"/>
    <w:link w:val="3"/>
    <w:semiHidden/>
    <w:qFormat/>
    <w:uiPriority w:val="0"/>
    <w:rPr>
      <w:sz w:val="18"/>
      <w:szCs w:val="18"/>
    </w:rPr>
  </w:style>
  <w:style w:type="character" w:customStyle="1" w:styleId="14">
    <w:name w:val="页眉 字符"/>
    <w:basedOn w:val="7"/>
    <w:link w:val="4"/>
    <w:semiHidden/>
    <w:qFormat/>
    <w:uiPriority w:val="0"/>
    <w:rPr>
      <w:sz w:val="18"/>
      <w:szCs w:val="18"/>
    </w:rPr>
  </w:style>
  <w:style w:type="paragraph" w:customStyle="1" w:styleId="15">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引用1"/>
    <w:basedOn w:val="7"/>
    <w:qFormat/>
    <w:uiPriority w:val="0"/>
    <w:rPr>
      <w:sz w:val="21"/>
      <w:szCs w:val="21"/>
    </w:rPr>
  </w:style>
  <w:style w:type="paragraph" w:customStyle="1" w:styleId="17">
    <w:name w:val="Revision"/>
    <w:hidden/>
    <w:unhideWhenUsed/>
    <w:qFormat/>
    <w:uiPriority w:val="99"/>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中国长城资产管理公司</Company>
  <Pages>8</Pages>
  <Words>2232</Words>
  <Characters>2345</Characters>
  <Lines>111</Lines>
  <Paragraphs>91</Paragraphs>
  <TotalTime>2</TotalTime>
  <ScaleCrop>false</ScaleCrop>
  <LinksUpToDate>false</LinksUpToDate>
  <CharactersWithSpaces>4486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2022-08-17T23:51:00Z</dcterms:created>
  <dc:creator>黄维杰</dc:creator>
  <cp:lastModifiedBy>吴笛</cp:lastModifiedBy>
  <dcterms:modified xsi:type="dcterms:W3CDTF">2025-10-22T03:55:30Z</dcterms:modified>
  <dc:title>李士琦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56E90A2336754511A1226F7D65AF397C</vt:lpwstr>
  </property>
</Properties>
</file>