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40" w:beforeAutospacing="0" w:after="240" w:afterAutospacing="0" w:line="480" w:lineRule="atLeast"/>
        <w:ind w:firstLine="3080" w:firstLineChars="700"/>
        <w:rPr>
          <w:rFonts w:ascii="Tahoma" w:hAnsi="Tahoma" w:cs="Tahoma"/>
          <w:color w:val="auto"/>
          <w:sz w:val="18"/>
          <w:szCs w:val="18"/>
          <w:highlight w:val="none"/>
        </w:rPr>
      </w:pPr>
      <w:r>
        <w:rPr>
          <w:rFonts w:cs="Tahoma"/>
          <w:color w:val="auto"/>
          <w:sz w:val="44"/>
          <w:szCs w:val="44"/>
          <w:highlight w:val="none"/>
        </w:rPr>
        <w:t>竞买须知</w:t>
      </w:r>
    </w:p>
    <w:p>
      <w:pPr>
        <w:pStyle w:val="6"/>
        <w:spacing w:before="0" w:beforeAutospacing="0" w:after="0" w:afterAutospacing="0"/>
        <w:ind w:firstLine="360"/>
        <w:rPr>
          <w:rFonts w:ascii="Tahoma" w:hAnsi="Tahoma" w:cs="Tahoma"/>
          <w:color w:val="auto"/>
          <w:highlight w:val="none"/>
        </w:rPr>
      </w:pPr>
      <w:r>
        <w:rPr>
          <w:rFonts w:cs="Tahoma"/>
          <w:color w:val="auto"/>
          <w:highlight w:val="none"/>
        </w:rPr>
        <w:t>一、竞</w:t>
      </w:r>
      <w:r>
        <w:rPr>
          <w:rFonts w:hint="eastAsia" w:cs="Tahoma"/>
          <w:color w:val="auto"/>
          <w:highlight w:val="none"/>
        </w:rPr>
        <w:t>价</w:t>
      </w:r>
      <w:r>
        <w:rPr>
          <w:rFonts w:cs="Tahoma"/>
          <w:color w:val="auto"/>
          <w:highlight w:val="none"/>
        </w:rPr>
        <w:t>标的：</w:t>
      </w:r>
      <w:r>
        <w:rPr>
          <w:rFonts w:hint="eastAsia" w:ascii="宋体" w:hAnsi="宋体" w:eastAsia="宋体" w:cs="Tahoma"/>
          <w:color w:val="auto"/>
          <w:highlight w:val="none"/>
        </w:rPr>
        <w:t>中国长城资产管理股份有限公司广东省分公司对侨鑫集团有限公司债权资产。</w:t>
      </w:r>
    </w:p>
    <w:p>
      <w:pPr>
        <w:pStyle w:val="6"/>
        <w:spacing w:before="0" w:beforeAutospacing="0" w:after="0" w:afterAutospacing="0"/>
        <w:ind w:firstLine="360"/>
        <w:rPr>
          <w:rFonts w:cs="Tahoma"/>
          <w:color w:val="auto"/>
          <w:highlight w:val="none"/>
        </w:rPr>
      </w:pPr>
      <w:r>
        <w:rPr>
          <w:rFonts w:cs="Tahoma"/>
          <w:color w:val="auto"/>
          <w:highlight w:val="none"/>
        </w:rPr>
        <w:t>竞</w:t>
      </w:r>
      <w:r>
        <w:rPr>
          <w:rFonts w:hint="eastAsia" w:cs="Tahoma"/>
          <w:color w:val="auto"/>
          <w:highlight w:val="none"/>
        </w:rPr>
        <w:t>价</w:t>
      </w:r>
      <w:r>
        <w:rPr>
          <w:rFonts w:cs="Tahoma"/>
          <w:color w:val="auto"/>
          <w:highlight w:val="none"/>
        </w:rPr>
        <w:t>起拍价：</w:t>
      </w:r>
      <w:r>
        <w:rPr>
          <w:rFonts w:hint="eastAsia" w:cs="Tahoma"/>
          <w:color w:val="auto"/>
          <w:highlight w:val="none"/>
        </w:rPr>
        <w:t>31,962.70万元，竞价保证金：</w:t>
      </w:r>
      <w:bookmarkStart w:id="0" w:name="OLE_LINK1"/>
      <w:r>
        <w:rPr>
          <w:rFonts w:hint="eastAsia" w:cs="Tahoma"/>
          <w:color w:val="auto"/>
          <w:highlight w:val="none"/>
        </w:rPr>
        <w:t>3,190</w:t>
      </w:r>
      <w:bookmarkEnd w:id="0"/>
      <w:r>
        <w:rPr>
          <w:rFonts w:hint="eastAsia" w:cs="Tahoma"/>
          <w:color w:val="auto"/>
          <w:highlight w:val="none"/>
        </w:rPr>
        <w:t>万元，加价幅度：10万元或其整数倍。</w:t>
      </w: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cs="Tahoma"/>
          <w:color w:val="auto"/>
          <w:highlight w:val="none"/>
        </w:rPr>
      </w:pPr>
      <w:r>
        <w:rPr>
          <w:rFonts w:hint="eastAsia" w:cs="Tahoma"/>
          <w:color w:val="auto"/>
          <w:highlight w:val="none"/>
        </w:rPr>
        <w:t>二、交易对象：具有完全民事行为能力、支付能力的法人、非法人组织或自然人，但以下主体不得购买：（1）国家公务员、金融监管机构工作人员、政法干警、金融资产管理公司工作人</w:t>
      </w:r>
      <w:bookmarkStart w:id="1" w:name="_GoBack"/>
      <w:bookmarkEnd w:id="1"/>
      <w:r>
        <w:rPr>
          <w:rFonts w:hint="eastAsia" w:cs="Tahoma"/>
          <w:color w:val="auto"/>
          <w:highlight w:val="none"/>
        </w:rPr>
        <w:t>员、原债务企业管理层;</w:t>
      </w:r>
    </w:p>
    <w:p>
      <w:pPr>
        <w:pStyle w:val="6"/>
        <w:spacing w:before="0" w:beforeAutospacing="0" w:after="0" w:afterAutospacing="0"/>
        <w:ind w:firstLine="360"/>
        <w:rPr>
          <w:rFonts w:cs="Tahoma"/>
          <w:color w:val="auto"/>
          <w:highlight w:val="none"/>
        </w:rPr>
      </w:pPr>
      <w:r>
        <w:rPr>
          <w:rFonts w:hint="eastAsia" w:cs="Tahoma"/>
          <w:color w:val="auto"/>
          <w:highlight w:val="none"/>
        </w:rPr>
        <w:t>(2)该项资产处置工作相关的律师、会计师、评估师等中介机构所属人员，或者该项资产处置工作相关的律师、会计师、评估师等中介机构所属人员参与的非金融机构法人；</w:t>
      </w:r>
    </w:p>
    <w:p>
      <w:pPr>
        <w:pStyle w:val="6"/>
        <w:spacing w:before="0" w:beforeAutospacing="0" w:after="0" w:afterAutospacing="0"/>
        <w:ind w:firstLine="360"/>
        <w:rPr>
          <w:rFonts w:cs="Tahoma"/>
          <w:color w:val="auto"/>
          <w:highlight w:val="none"/>
        </w:rPr>
      </w:pPr>
      <w:r>
        <w:rPr>
          <w:rFonts w:hint="eastAsia" w:cs="Tahoma"/>
          <w:color w:val="auto"/>
          <w:highlight w:val="none"/>
        </w:rPr>
        <w:t>（3）与参与资产处置的金融资产管理公司工作人员、原债务企业或者受托资产评估机构负责人员等有直系亲属关系的人员；</w:t>
      </w:r>
    </w:p>
    <w:p>
      <w:pPr>
        <w:pStyle w:val="6"/>
        <w:spacing w:before="0" w:beforeAutospacing="0" w:after="0" w:afterAutospacing="0"/>
        <w:ind w:firstLine="360"/>
        <w:rPr>
          <w:rFonts w:cs="Tahoma"/>
          <w:color w:val="auto"/>
          <w:highlight w:val="none"/>
        </w:rPr>
      </w:pPr>
      <w:r>
        <w:rPr>
          <w:rFonts w:hint="eastAsia" w:cs="Tahoma"/>
          <w:color w:val="auto"/>
          <w:highlight w:val="none"/>
        </w:rPr>
        <w:t>（4）债权资产项下的债务人、担保人为自然人的，其本人及其直系亲属；</w:t>
      </w:r>
    </w:p>
    <w:p>
      <w:pPr>
        <w:pStyle w:val="6"/>
        <w:spacing w:before="0" w:beforeAutospacing="0" w:after="0" w:afterAutospacing="0"/>
        <w:ind w:firstLine="360"/>
        <w:rPr>
          <w:rFonts w:cs="Tahoma"/>
          <w:color w:val="auto"/>
          <w:highlight w:val="none"/>
        </w:rPr>
      </w:pPr>
      <w:r>
        <w:rPr>
          <w:rFonts w:hint="eastAsia" w:cs="Tahoma"/>
          <w:color w:val="auto"/>
          <w:highlight w:val="none"/>
        </w:rPr>
        <w:t>（5）债权资产项下的债务企业的控股股东、实际控制人及其控股下属公司，担保企业及其控股下属公司，债务企业的其他关联企业；</w:t>
      </w:r>
    </w:p>
    <w:p>
      <w:pPr>
        <w:pStyle w:val="6"/>
        <w:spacing w:before="0" w:beforeAutospacing="0" w:after="0" w:afterAutospacing="0"/>
        <w:ind w:firstLine="360"/>
        <w:rPr>
          <w:rFonts w:cs="Tahoma"/>
          <w:color w:val="auto"/>
          <w:highlight w:val="none"/>
        </w:rPr>
      </w:pPr>
      <w:r>
        <w:rPr>
          <w:rFonts w:hint="eastAsia" w:cs="Tahoma"/>
          <w:color w:val="auto"/>
          <w:highlight w:val="none"/>
        </w:rPr>
        <w:t>（6）前述（1）至（5）项主体出资成立的法人机构或特殊目的实体；</w:t>
      </w:r>
    </w:p>
    <w:p>
      <w:pPr>
        <w:pStyle w:val="6"/>
        <w:spacing w:before="0" w:beforeAutospacing="0" w:after="0" w:afterAutospacing="0"/>
        <w:ind w:firstLine="360"/>
        <w:rPr>
          <w:rFonts w:cs="Tahoma"/>
          <w:color w:val="auto"/>
          <w:highlight w:val="none"/>
        </w:rPr>
      </w:pPr>
      <w:r>
        <w:rPr>
          <w:rFonts w:hint="eastAsia" w:cs="Tahoma"/>
          <w:color w:val="auto"/>
          <w:highlight w:val="none"/>
        </w:rPr>
        <w:t>（7）失信被执行人；</w:t>
      </w:r>
    </w:p>
    <w:p>
      <w:pPr>
        <w:pStyle w:val="6"/>
        <w:spacing w:before="0" w:beforeAutospacing="0" w:after="0" w:afterAutospacing="0"/>
        <w:ind w:firstLine="360"/>
        <w:rPr>
          <w:rFonts w:cs="Tahoma"/>
          <w:color w:val="auto"/>
          <w:highlight w:val="none"/>
        </w:rPr>
      </w:pPr>
      <w:r>
        <w:rPr>
          <w:rFonts w:hint="eastAsia" w:cs="Tahoma"/>
          <w:color w:val="auto"/>
          <w:highlight w:val="none"/>
        </w:rPr>
        <w:t>（8）国家金融监督管理总局认定的其他不宜受让的主体；</w:t>
      </w:r>
    </w:p>
    <w:p>
      <w:pPr>
        <w:pStyle w:val="6"/>
        <w:spacing w:before="0" w:beforeAutospacing="0" w:after="0" w:afterAutospacing="0"/>
        <w:ind w:firstLine="360"/>
        <w:rPr>
          <w:rFonts w:cs="Tahoma"/>
          <w:color w:val="auto"/>
          <w:highlight w:val="none"/>
        </w:rPr>
      </w:pPr>
      <w:r>
        <w:rPr>
          <w:rFonts w:hint="eastAsia" w:cs="Tahoma"/>
          <w:color w:val="auto"/>
          <w:highlight w:val="none"/>
        </w:rPr>
        <w:t>（9）其他依据法律法规和监管规章不得购买的主体。</w:t>
      </w:r>
    </w:p>
    <w:p>
      <w:pPr>
        <w:pStyle w:val="6"/>
        <w:spacing w:before="0" w:beforeAutospacing="0" w:after="0" w:afterAutospacing="0"/>
        <w:ind w:firstLine="360"/>
        <w:rPr>
          <w:rFonts w:cs="Tahoma"/>
          <w:color w:val="auto"/>
          <w:highlight w:val="none"/>
        </w:rPr>
      </w:pPr>
      <w:r>
        <w:rPr>
          <w:rFonts w:hint="eastAsia" w:cs="Tahoma"/>
          <w:color w:val="auto"/>
          <w:highlight w:val="none"/>
        </w:rPr>
        <w:t>竞买人亦不得属于前述主体投资、控制或享有其他权益的企业或其他实体，并进一步保证不向前述主体或其投资、控制的实体转让标的债权。</w:t>
      </w:r>
    </w:p>
    <w:p>
      <w:pPr>
        <w:pStyle w:val="6"/>
        <w:spacing w:before="0" w:beforeAutospacing="0" w:after="0" w:afterAutospacing="0"/>
        <w:ind w:firstLine="360"/>
        <w:rPr>
          <w:rFonts w:cs="Tahoma"/>
          <w:color w:val="auto"/>
          <w:highlight w:val="none"/>
        </w:rPr>
      </w:pPr>
      <w:r>
        <w:rPr>
          <w:rFonts w:hint="eastAsia" w:cs="Tahoma"/>
          <w:color w:val="auto"/>
          <w:highlight w:val="none"/>
        </w:rPr>
        <w:t>竞买人支付转让价款的资金来源应合法、合规，且为竞买人依法可支配的财产。</w:t>
      </w:r>
    </w:p>
    <w:p>
      <w:pPr>
        <w:pStyle w:val="6"/>
        <w:spacing w:before="0" w:beforeAutospacing="0" w:after="0" w:afterAutospacing="0"/>
        <w:ind w:firstLine="360"/>
        <w:rPr>
          <w:rFonts w:cs="Tahoma"/>
          <w:color w:val="auto"/>
          <w:highlight w:val="none"/>
        </w:rPr>
      </w:pPr>
      <w:r>
        <w:rPr>
          <w:rFonts w:hint="eastAsia" w:cs="Tahoma"/>
          <w:color w:val="auto"/>
          <w:highlight w:val="none"/>
        </w:rPr>
        <w:t>因不符合交易对象条件参加竞买的，由竞买人自行承担相应的法律责任。</w:t>
      </w: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cs="Tahoma"/>
          <w:color w:val="auto"/>
          <w:highlight w:val="none"/>
        </w:rPr>
      </w:pPr>
      <w:r>
        <w:rPr>
          <w:rFonts w:hint="eastAsia" w:cs="Tahoma"/>
          <w:color w:val="auto"/>
          <w:highlight w:val="none"/>
        </w:rPr>
        <w:t>三、竞价标的为中国长城资产管理股份有限公司广东省分公司对侨鑫集团有限公司债权资产。（本次竞价标的信息请见发布的相关内容），有意者请自行多方位了解该竞价标的情况，中国长城资产管理股份有限公司广东省分公司（以下简称“中国长城资产广东分公司”）仅提供参考资料。</w:t>
      </w: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cs="Tahoma"/>
          <w:color w:val="auto"/>
          <w:highlight w:val="none"/>
        </w:rPr>
      </w:pPr>
      <w:r>
        <w:rPr>
          <w:rFonts w:hint="eastAsia" w:cs="Tahoma"/>
          <w:color w:val="auto"/>
          <w:highlight w:val="none"/>
        </w:rPr>
        <w:t>四、本次竞价活动须有一人报名并缴纳相应竞价保证金方可进入竞价程序。</w:t>
      </w:r>
    </w:p>
    <w:p>
      <w:pPr>
        <w:pStyle w:val="6"/>
        <w:spacing w:before="0" w:beforeAutospacing="0" w:after="0" w:afterAutospacing="0"/>
        <w:ind w:firstLine="360"/>
        <w:rPr>
          <w:rFonts w:cs="Tahoma"/>
          <w:color w:val="auto"/>
          <w:highlight w:val="none"/>
        </w:rPr>
      </w:pPr>
      <w:r>
        <w:rPr>
          <w:rFonts w:hint="eastAsia" w:cs="Tahoma"/>
          <w:color w:val="auto"/>
          <w:highlight w:val="none"/>
        </w:rPr>
        <w:t>根据《金融资产管理公司不良资产业务管理办法》（金规〔</w:t>
      </w:r>
      <w:r>
        <w:rPr>
          <w:rFonts w:cs="Tahoma"/>
          <w:color w:val="auto"/>
          <w:highlight w:val="none"/>
        </w:rPr>
        <w:t>2024〕17号</w:t>
      </w:r>
      <w:r>
        <w:rPr>
          <w:rFonts w:hint="eastAsia" w:cs="Tahoma"/>
          <w:color w:val="auto"/>
          <w:highlight w:val="none"/>
        </w:rPr>
        <w:t>）的相关规定，若只有一人出价且不低于保留价，</w:t>
      </w:r>
      <w:r>
        <w:rPr>
          <w:rFonts w:hint="eastAsia"/>
          <w:color w:val="auto"/>
          <w:highlight w:val="none"/>
        </w:rPr>
        <w:t>中国长城资产广东分公司</w:t>
      </w:r>
      <w:r>
        <w:rPr>
          <w:rFonts w:hint="eastAsia" w:cs="Tahoma"/>
          <w:color w:val="auto"/>
          <w:highlight w:val="none"/>
        </w:rPr>
        <w:t>将按相关规定补登公告。公告期满（</w:t>
      </w:r>
      <w:r>
        <w:rPr>
          <w:rFonts w:cs="Tahoma"/>
          <w:color w:val="auto"/>
          <w:highlight w:val="none"/>
        </w:rPr>
        <w:t>3</w:t>
      </w:r>
      <w:r>
        <w:rPr>
          <w:rFonts w:hint="eastAsia" w:cs="Tahoma"/>
          <w:color w:val="auto"/>
          <w:highlight w:val="none"/>
        </w:rPr>
        <w:t>个工作日），如未征集到新的意向人，</w:t>
      </w:r>
      <w:r>
        <w:rPr>
          <w:rFonts w:hint="eastAsia"/>
          <w:color w:val="auto"/>
          <w:highlight w:val="none"/>
        </w:rPr>
        <w:t>中国长城资产广东分公司</w:t>
      </w:r>
      <w:r>
        <w:rPr>
          <w:rFonts w:hint="eastAsia" w:cs="Tahoma"/>
          <w:color w:val="auto"/>
          <w:highlight w:val="none"/>
        </w:rPr>
        <w:t>将与该竞买人履行资格审核及签约流程；如公告期内征集到新的意向人，</w:t>
      </w:r>
      <w:r>
        <w:rPr>
          <w:rFonts w:hint="eastAsia"/>
          <w:color w:val="auto"/>
          <w:highlight w:val="none"/>
        </w:rPr>
        <w:t>中国长城资产广东分公司</w:t>
      </w:r>
      <w:r>
        <w:rPr>
          <w:rFonts w:hint="eastAsia" w:cs="Tahoma"/>
          <w:color w:val="auto"/>
          <w:highlight w:val="none"/>
        </w:rPr>
        <w:t>将适时在原处置平台举行二次竞价，并根据该次竞价情况确认最终买受人、履行资格审核及签约流程。</w:t>
      </w: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ascii="Tahoma" w:hAnsi="Tahoma" w:cs="Tahoma"/>
          <w:color w:val="auto"/>
          <w:highlight w:val="none"/>
        </w:rPr>
      </w:pPr>
      <w:r>
        <w:rPr>
          <w:rFonts w:hint="eastAsia" w:cs="Tahoma"/>
          <w:color w:val="auto"/>
          <w:highlight w:val="none"/>
        </w:rPr>
        <w:t>五、本次竞价活动设置延时出价功能，在竞价活动结束前，每最后5分钟如果有竞买人出价，则自动延迟5分钟。</w:t>
      </w:r>
    </w:p>
    <w:p>
      <w:pPr>
        <w:pStyle w:val="6"/>
        <w:spacing w:before="0" w:beforeAutospacing="0" w:after="0" w:afterAutospacing="0"/>
        <w:ind w:firstLine="360"/>
        <w:rPr>
          <w:rFonts w:ascii="Tahoma" w:hAnsi="Tahoma" w:cs="Tahoma"/>
          <w:color w:val="auto"/>
          <w:highlight w:val="none"/>
        </w:rPr>
      </w:pPr>
      <w:r>
        <w:rPr>
          <w:rFonts w:hint="eastAsia" w:cs="Tahoma"/>
          <w:color w:val="auto"/>
          <w:highlight w:val="none"/>
        </w:rPr>
        <w:t> </w:t>
      </w:r>
    </w:p>
    <w:p>
      <w:pPr>
        <w:pStyle w:val="6"/>
        <w:spacing w:before="0" w:beforeAutospacing="0" w:after="0" w:afterAutospacing="0"/>
        <w:ind w:firstLine="360"/>
        <w:rPr>
          <w:rFonts w:ascii="Tahoma" w:hAnsi="Tahoma" w:cs="Tahoma"/>
          <w:color w:val="auto"/>
          <w:highlight w:val="none"/>
        </w:rPr>
      </w:pPr>
      <w:r>
        <w:rPr>
          <w:rFonts w:hint="eastAsia" w:cs="Tahoma"/>
          <w:color w:val="auto"/>
          <w:highlight w:val="none"/>
        </w:rPr>
        <w:t>六、网络竞价方式：设有保留价的增价竞价方式，不到保留价不成交。</w:t>
      </w:r>
    </w:p>
    <w:p>
      <w:pPr>
        <w:pStyle w:val="6"/>
        <w:spacing w:before="0" w:beforeAutospacing="0" w:after="0" w:afterAutospacing="0"/>
        <w:ind w:firstLine="360"/>
        <w:rPr>
          <w:rFonts w:ascii="Tahoma" w:hAnsi="Tahoma" w:cs="Tahoma"/>
          <w:color w:val="auto"/>
          <w:highlight w:val="none"/>
        </w:rPr>
      </w:pPr>
      <w:r>
        <w:rPr>
          <w:rFonts w:hint="eastAsia" w:cs="Tahoma"/>
          <w:color w:val="auto"/>
          <w:highlight w:val="none"/>
        </w:rPr>
        <w:t> </w:t>
      </w:r>
    </w:p>
    <w:p>
      <w:pPr>
        <w:pStyle w:val="6"/>
        <w:spacing w:before="0" w:beforeAutospacing="0" w:after="0" w:afterAutospacing="0"/>
        <w:ind w:firstLine="360"/>
        <w:rPr>
          <w:rFonts w:cs="Tahoma"/>
          <w:color w:val="auto"/>
          <w:highlight w:val="none"/>
        </w:rPr>
      </w:pPr>
      <w:r>
        <w:rPr>
          <w:rFonts w:hint="eastAsia" w:cs="Tahoma"/>
          <w:color w:val="auto"/>
          <w:highlight w:val="none"/>
        </w:rPr>
        <w:t>七、竞价保证金规则：</w:t>
      </w:r>
    </w:p>
    <w:p>
      <w:pPr>
        <w:pStyle w:val="6"/>
        <w:spacing w:before="0" w:beforeAutospacing="0" w:after="240" w:afterAutospacing="0" w:line="240" w:lineRule="atLeast"/>
        <w:ind w:left="142" w:firstLine="360"/>
        <w:rPr>
          <w:rFonts w:asciiTheme="minorEastAsia" w:hAnsiTheme="minorEastAsia"/>
          <w:color w:val="auto"/>
          <w:highlight w:val="none"/>
        </w:rPr>
      </w:pPr>
      <w:r>
        <w:rPr>
          <w:rFonts w:hint="eastAsia" w:cs="Tahoma" w:asciiTheme="minorEastAsia" w:hAnsiTheme="minorEastAsia" w:eastAsiaTheme="minorEastAsia"/>
          <w:bCs/>
          <w:color w:val="auto"/>
          <w:highlight w:val="none"/>
        </w:rPr>
        <w:t>（一）竞买人按照</w:t>
      </w:r>
      <w:r>
        <w:rPr>
          <w:rFonts w:hint="eastAsia" w:asciiTheme="minorEastAsia" w:hAnsiTheme="minorEastAsia" w:eastAsiaTheme="minorEastAsia"/>
          <w:color w:val="auto"/>
          <w:highlight w:val="none"/>
          <w:lang w:eastAsia="zh-CN"/>
        </w:rPr>
        <w:t>京东资产交易平台</w:t>
      </w:r>
      <w:r>
        <w:rPr>
          <w:rFonts w:hint="eastAsia" w:asciiTheme="minorEastAsia" w:hAnsiTheme="minorEastAsia"/>
          <w:color w:val="auto"/>
          <w:highlight w:val="none"/>
        </w:rPr>
        <w:t>规则参与竞</w:t>
      </w:r>
      <w:r>
        <w:rPr>
          <w:rFonts w:hint="eastAsia" w:cs="Tahoma" w:asciiTheme="minorEastAsia" w:hAnsiTheme="minorEastAsia" w:eastAsiaTheme="minorEastAsia"/>
          <w:bCs/>
          <w:color w:val="auto"/>
          <w:highlight w:val="none"/>
        </w:rPr>
        <w:t>价</w:t>
      </w:r>
      <w:r>
        <w:rPr>
          <w:rFonts w:hint="eastAsia" w:asciiTheme="minorEastAsia" w:hAnsiTheme="minorEastAsia"/>
          <w:color w:val="auto"/>
          <w:highlight w:val="none"/>
        </w:rPr>
        <w:t>。竞</w:t>
      </w:r>
      <w:r>
        <w:rPr>
          <w:rFonts w:hint="eastAsia" w:cs="Tahoma" w:asciiTheme="minorEastAsia" w:hAnsiTheme="minorEastAsia" w:eastAsiaTheme="minorEastAsia"/>
          <w:bCs/>
          <w:color w:val="auto"/>
          <w:highlight w:val="none"/>
        </w:rPr>
        <w:t>价保证金缴纳后，</w:t>
      </w:r>
      <w:r>
        <w:rPr>
          <w:rFonts w:hint="eastAsia" w:asciiTheme="minorEastAsia" w:hAnsiTheme="minorEastAsia" w:eastAsiaTheme="minorEastAsia"/>
          <w:color w:val="auto"/>
          <w:highlight w:val="none"/>
          <w:lang w:eastAsia="zh-CN"/>
        </w:rPr>
        <w:t>京东资产交易平台</w:t>
      </w:r>
      <w:r>
        <w:rPr>
          <w:rFonts w:hint="eastAsia" w:cs="Tahoma" w:asciiTheme="minorEastAsia" w:hAnsiTheme="minorEastAsia" w:eastAsiaTheme="minorEastAsia"/>
          <w:bCs/>
          <w:color w:val="auto"/>
          <w:highlight w:val="none"/>
        </w:rPr>
        <w:t>将按规定冻结竞买人网银账户内应缴的竞价保证金。竞价结束后，未能竞得者冻结的竞价保证金自动解冻，冻结期间不计利息；竞价标的竞得者原冻结的竞价保证金将于竞得者向</w:t>
      </w:r>
      <w:r>
        <w:rPr>
          <w:rFonts w:hint="eastAsia" w:asciiTheme="minorEastAsia" w:hAnsiTheme="minorEastAsia" w:eastAsiaTheme="minorEastAsia"/>
          <w:color w:val="auto"/>
          <w:highlight w:val="none"/>
          <w:lang w:eastAsia="zh-CN"/>
        </w:rPr>
        <w:t>京东资产交易平台</w:t>
      </w:r>
      <w:r>
        <w:rPr>
          <w:rFonts w:hint="eastAsia" w:cs="Tahoma" w:asciiTheme="minorEastAsia" w:hAnsiTheme="minorEastAsia" w:eastAsiaTheme="minorEastAsia"/>
          <w:bCs/>
          <w:color w:val="auto"/>
          <w:highlight w:val="none"/>
        </w:rPr>
        <w:t>支付线上交易服务费后自动转入</w:t>
      </w:r>
      <w:r>
        <w:rPr>
          <w:rFonts w:hint="eastAsia"/>
          <w:color w:val="auto"/>
          <w:highlight w:val="none"/>
        </w:rPr>
        <w:t>中国长城资产广东分公司</w:t>
      </w:r>
      <w:r>
        <w:rPr>
          <w:rFonts w:hint="eastAsia" w:cs="Tahoma" w:asciiTheme="minorEastAsia" w:hAnsiTheme="minorEastAsia" w:eastAsiaTheme="minorEastAsia"/>
          <w:bCs/>
          <w:color w:val="auto"/>
          <w:highlight w:val="none"/>
        </w:rPr>
        <w:t>指定账户</w:t>
      </w:r>
      <w:r>
        <w:rPr>
          <w:rFonts w:hint="eastAsia" w:asciiTheme="minorEastAsia" w:hAnsiTheme="minorEastAsia"/>
          <w:color w:val="auto"/>
          <w:highlight w:val="none"/>
        </w:rPr>
        <w:t>。</w:t>
      </w:r>
    </w:p>
    <w:p>
      <w:pPr>
        <w:pStyle w:val="6"/>
        <w:spacing w:before="0" w:beforeAutospacing="0" w:after="0" w:afterAutospacing="0"/>
        <w:ind w:firstLine="360"/>
        <w:rPr>
          <w:rFonts w:cs="Tahoma"/>
          <w:b/>
          <w:color w:val="auto"/>
          <w:highlight w:val="none"/>
        </w:rPr>
      </w:pPr>
      <w:r>
        <w:rPr>
          <w:rFonts w:hint="eastAsia" w:cs="Tahoma"/>
          <w:b/>
          <w:color w:val="auto"/>
          <w:highlight w:val="none"/>
        </w:rPr>
        <w:t>（二）下列情况，竞买人缴纳的竞价保证金归中国长城资产广东分公司所有：</w:t>
      </w:r>
    </w:p>
    <w:p>
      <w:pPr>
        <w:pStyle w:val="6"/>
        <w:spacing w:before="0" w:beforeAutospacing="0" w:after="0" w:afterAutospacing="0"/>
        <w:ind w:firstLine="360"/>
        <w:rPr>
          <w:rFonts w:ascii="Tahoma" w:hAnsi="Tahoma" w:cs="Tahoma"/>
          <w:b/>
          <w:color w:val="auto"/>
          <w:highlight w:val="none"/>
        </w:rPr>
      </w:pPr>
      <w:r>
        <w:rPr>
          <w:rFonts w:hint="eastAsia" w:cs="Tahoma"/>
          <w:b/>
          <w:color w:val="auto"/>
          <w:highlight w:val="none"/>
        </w:rPr>
        <w:t>1.竞买人在竞价过程中违反竞价规则和产权交易相关规则，扰乱竞价秩序的；</w:t>
      </w:r>
    </w:p>
    <w:p>
      <w:pPr>
        <w:pStyle w:val="6"/>
        <w:spacing w:before="0" w:beforeAutospacing="0" w:after="0" w:afterAutospacing="0"/>
        <w:ind w:firstLine="360"/>
        <w:rPr>
          <w:rFonts w:cs="Tahoma"/>
          <w:b/>
          <w:color w:val="auto"/>
          <w:highlight w:val="none"/>
        </w:rPr>
      </w:pPr>
      <w:r>
        <w:rPr>
          <w:rFonts w:hint="eastAsia" w:cs="Tahoma"/>
          <w:b/>
          <w:color w:val="auto"/>
          <w:highlight w:val="none"/>
        </w:rPr>
        <w:t>2．因竞买人未及时缴纳京东线上交易服务费，导致</w:t>
      </w:r>
      <w:r>
        <w:rPr>
          <w:rFonts w:hint="eastAsia"/>
          <w:b/>
          <w:color w:val="auto"/>
          <w:highlight w:val="none"/>
        </w:rPr>
        <w:t>中国长城资产广东分公司</w:t>
      </w:r>
      <w:r>
        <w:rPr>
          <w:rFonts w:hint="eastAsia" w:cs="Tahoma"/>
          <w:b/>
          <w:color w:val="auto"/>
          <w:highlight w:val="none"/>
        </w:rPr>
        <w:t>未能在产生最终成交价之日（不含当日）起的</w:t>
      </w:r>
      <w:r>
        <w:rPr>
          <w:rFonts w:hint="eastAsia" w:cs="Tahoma"/>
          <w:b/>
          <w:color w:val="auto"/>
          <w:highlight w:val="none"/>
          <w:lang w:val="en-US" w:eastAsia="zh-CN"/>
        </w:rPr>
        <w:t>3</w:t>
      </w:r>
      <w:r>
        <w:rPr>
          <w:rFonts w:hint="eastAsia" w:cs="Tahoma"/>
          <w:b/>
          <w:color w:val="auto"/>
          <w:highlight w:val="none"/>
        </w:rPr>
        <w:t>个工作日内收到竞价保证金的；</w:t>
      </w:r>
    </w:p>
    <w:p>
      <w:pPr>
        <w:pStyle w:val="6"/>
        <w:spacing w:before="0" w:beforeAutospacing="0" w:after="0" w:afterAutospacing="0"/>
        <w:ind w:firstLine="360"/>
        <w:rPr>
          <w:rFonts w:cs="Tahoma"/>
          <w:b/>
          <w:color w:val="auto"/>
          <w:highlight w:val="none"/>
        </w:rPr>
      </w:pPr>
      <w:r>
        <w:rPr>
          <w:rFonts w:hint="eastAsia" w:cs="Tahoma"/>
          <w:b/>
          <w:color w:val="auto"/>
          <w:highlight w:val="none"/>
        </w:rPr>
        <w:t>3、竞买人未能在产生最终成交价之日（含当日）起2个工作日当日向</w:t>
      </w:r>
      <w:r>
        <w:rPr>
          <w:rFonts w:hint="eastAsia"/>
          <w:b/>
          <w:color w:val="auto"/>
          <w:highlight w:val="none"/>
        </w:rPr>
        <w:t>中国长城资产广东分公司</w:t>
      </w:r>
      <w:r>
        <w:rPr>
          <w:rFonts w:hint="eastAsia" w:cs="Tahoma"/>
          <w:b/>
          <w:color w:val="auto"/>
          <w:highlight w:val="none"/>
        </w:rPr>
        <w:t>提交竞买人主体资格证明材料（详见《竞买人主体资格证明材料要求》）并配合</w:t>
      </w:r>
      <w:r>
        <w:rPr>
          <w:rFonts w:hint="eastAsia"/>
          <w:b/>
          <w:color w:val="auto"/>
          <w:highlight w:val="none"/>
        </w:rPr>
        <w:t>中国长城资产广东分公司</w:t>
      </w:r>
      <w:r>
        <w:rPr>
          <w:rFonts w:hint="eastAsia" w:cs="Tahoma"/>
          <w:b/>
          <w:color w:val="auto"/>
          <w:highlight w:val="none"/>
        </w:rPr>
        <w:t>完成竞买人的资格审核的；</w:t>
      </w:r>
    </w:p>
    <w:p>
      <w:pPr>
        <w:pStyle w:val="6"/>
        <w:spacing w:before="0" w:beforeAutospacing="0" w:after="0" w:afterAutospacing="0"/>
        <w:ind w:firstLine="360"/>
        <w:rPr>
          <w:rFonts w:ascii="Tahoma" w:hAnsi="Tahoma" w:cs="Tahoma"/>
          <w:b/>
          <w:color w:val="auto"/>
          <w:highlight w:val="none"/>
        </w:rPr>
      </w:pPr>
      <w:r>
        <w:rPr>
          <w:rFonts w:cs="Tahoma"/>
          <w:b/>
          <w:color w:val="auto"/>
          <w:highlight w:val="none"/>
        </w:rPr>
        <w:t>4.</w:t>
      </w:r>
      <w:r>
        <w:rPr>
          <w:rFonts w:hint="eastAsia"/>
          <w:b/>
          <w:color w:val="auto"/>
          <w:highlight w:val="none"/>
        </w:rPr>
        <w:t xml:space="preserve"> 中国长城资产广东分公司</w:t>
      </w:r>
      <w:r>
        <w:rPr>
          <w:rFonts w:hint="eastAsia" w:cs="Tahoma"/>
          <w:b/>
          <w:color w:val="auto"/>
          <w:highlight w:val="none"/>
        </w:rPr>
        <w:t>收到竞买人竞价保证金并通过竞买人的资格审核后，将通知竞买人于通知当日（含）起</w:t>
      </w:r>
      <w:r>
        <w:rPr>
          <w:rFonts w:hint="eastAsia" w:cs="Tahoma"/>
          <w:b/>
          <w:color w:val="auto"/>
          <w:highlight w:val="none"/>
          <w:lang w:val="en-US" w:eastAsia="zh-CN"/>
        </w:rPr>
        <w:t>2</w:t>
      </w:r>
      <w:r>
        <w:rPr>
          <w:rFonts w:hint="eastAsia" w:cs="Tahoma"/>
          <w:b/>
          <w:color w:val="auto"/>
          <w:highlight w:val="none"/>
        </w:rPr>
        <w:t>个工作日内签订《债权转让协议》，竞买人未按通知要求签订《债权转让协议》的或签订《债权转让协议》后未按协议约定按时足额支付履约保证金的；</w:t>
      </w:r>
    </w:p>
    <w:p>
      <w:pPr>
        <w:pStyle w:val="6"/>
        <w:spacing w:before="0" w:beforeAutospacing="0" w:after="0" w:afterAutospacing="0"/>
        <w:ind w:firstLine="360"/>
        <w:rPr>
          <w:rFonts w:cs="Tahoma"/>
          <w:b/>
          <w:color w:val="auto"/>
          <w:highlight w:val="none"/>
        </w:rPr>
      </w:pPr>
      <w:r>
        <w:rPr>
          <w:rFonts w:hint="eastAsia" w:cs="Tahoma"/>
          <w:b/>
          <w:color w:val="auto"/>
          <w:highlight w:val="none"/>
        </w:rPr>
        <w:t>5</w:t>
      </w:r>
      <w:r>
        <w:rPr>
          <w:rFonts w:cs="Tahoma"/>
          <w:b/>
          <w:color w:val="auto"/>
          <w:highlight w:val="none"/>
        </w:rPr>
        <w:t xml:space="preserve">. </w:t>
      </w:r>
      <w:r>
        <w:rPr>
          <w:rFonts w:hint="eastAsia" w:cs="Tahoma"/>
          <w:b/>
          <w:color w:val="auto"/>
          <w:highlight w:val="none"/>
        </w:rPr>
        <w:t>竞买人签订《债权转让协议》时，提出附加条件或者更改合同实质性内容的；</w:t>
      </w:r>
    </w:p>
    <w:p>
      <w:pPr>
        <w:pStyle w:val="6"/>
        <w:spacing w:before="0" w:beforeAutospacing="0" w:after="0" w:afterAutospacing="0"/>
        <w:ind w:firstLine="360"/>
        <w:rPr>
          <w:rFonts w:ascii="Tahoma" w:hAnsi="Tahoma" w:cs="Tahoma"/>
          <w:b/>
          <w:color w:val="auto"/>
          <w:highlight w:val="none"/>
        </w:rPr>
      </w:pPr>
      <w:r>
        <w:rPr>
          <w:rFonts w:hint="eastAsia" w:cs="Tahoma"/>
          <w:b/>
          <w:color w:val="auto"/>
          <w:highlight w:val="none"/>
        </w:rPr>
        <w:t>6.竞买人未按《债权转让协议》约定的付款期限付清全部款项的；</w:t>
      </w:r>
    </w:p>
    <w:p>
      <w:pPr>
        <w:pStyle w:val="6"/>
        <w:spacing w:before="0" w:beforeAutospacing="0" w:after="0" w:afterAutospacing="0"/>
        <w:ind w:firstLine="360"/>
        <w:rPr>
          <w:rFonts w:ascii="Tahoma" w:hAnsi="Tahoma" w:cs="Tahoma"/>
          <w:b/>
          <w:color w:val="auto"/>
          <w:highlight w:val="none"/>
        </w:rPr>
      </w:pPr>
      <w:r>
        <w:rPr>
          <w:rFonts w:hint="eastAsia" w:cs="Tahoma"/>
          <w:b/>
          <w:color w:val="auto"/>
          <w:highlight w:val="none"/>
        </w:rPr>
        <w:t>7.竞买人未按交易条件的要求完成标的交付交接的；</w:t>
      </w:r>
    </w:p>
    <w:p>
      <w:pPr>
        <w:pStyle w:val="6"/>
        <w:spacing w:before="0" w:beforeAutospacing="0" w:after="0" w:afterAutospacing="0"/>
        <w:ind w:firstLine="360"/>
        <w:rPr>
          <w:rFonts w:ascii="Tahoma" w:hAnsi="Tahoma" w:cs="Tahoma"/>
          <w:b/>
          <w:color w:val="auto"/>
          <w:highlight w:val="none"/>
        </w:rPr>
      </w:pPr>
      <w:r>
        <w:rPr>
          <w:rFonts w:hint="eastAsia" w:cs="Tahoma"/>
          <w:b/>
          <w:color w:val="auto"/>
          <w:highlight w:val="none"/>
        </w:rPr>
        <w:t>8.竞买人出现下列恶意炒作及市场操纵情形的：1）捏造散布涨价信息；2）恶意囤货；3）哄抬价格谋取暴利；4）其他通过非正当手段扰乱市场的行为；</w:t>
      </w:r>
    </w:p>
    <w:p>
      <w:pPr>
        <w:pStyle w:val="6"/>
        <w:spacing w:before="0" w:beforeAutospacing="0" w:after="0" w:afterAutospacing="0"/>
        <w:ind w:firstLine="360"/>
        <w:rPr>
          <w:rFonts w:ascii="Tahoma" w:hAnsi="Tahoma" w:cs="Tahoma"/>
          <w:b/>
          <w:color w:val="auto"/>
          <w:highlight w:val="none"/>
        </w:rPr>
      </w:pPr>
      <w:r>
        <w:rPr>
          <w:rFonts w:hint="eastAsia" w:cs="Tahoma"/>
          <w:b/>
          <w:color w:val="auto"/>
          <w:highlight w:val="none"/>
        </w:rPr>
        <w:t>9.竞买人不符合竞买人条件的。</w:t>
      </w:r>
    </w:p>
    <w:p>
      <w:pPr>
        <w:pStyle w:val="6"/>
        <w:spacing w:before="0" w:beforeAutospacing="0" w:after="0" w:afterAutospacing="0"/>
        <w:ind w:firstLine="360"/>
        <w:rPr>
          <w:rFonts w:ascii="Tahoma" w:hAnsi="Tahoma" w:cs="Tahoma"/>
          <w:color w:val="auto"/>
          <w:highlight w:val="none"/>
        </w:rPr>
      </w:pPr>
    </w:p>
    <w:p>
      <w:pPr>
        <w:pStyle w:val="6"/>
        <w:spacing w:before="0" w:beforeAutospacing="0" w:after="0" w:afterAutospacing="0"/>
        <w:ind w:firstLine="360"/>
        <w:rPr>
          <w:rFonts w:ascii="Tahoma" w:hAnsi="Tahoma" w:cs="Tahoma"/>
          <w:color w:val="auto"/>
          <w:highlight w:val="none"/>
        </w:rPr>
      </w:pPr>
      <w:r>
        <w:rPr>
          <w:rFonts w:hint="eastAsia" w:cs="Tahoma"/>
          <w:color w:val="auto"/>
          <w:highlight w:val="none"/>
        </w:rPr>
        <w:t>八、违约责任：</w:t>
      </w:r>
    </w:p>
    <w:p>
      <w:pPr>
        <w:pStyle w:val="6"/>
        <w:spacing w:before="0" w:beforeAutospacing="0" w:after="0" w:afterAutospacing="0"/>
        <w:ind w:firstLine="360"/>
        <w:rPr>
          <w:rFonts w:ascii="Tahoma" w:hAnsi="Tahoma" w:cs="Tahoma"/>
          <w:color w:val="auto"/>
          <w:highlight w:val="none"/>
        </w:rPr>
      </w:pPr>
      <w:r>
        <w:rPr>
          <w:rFonts w:hint="eastAsia" w:cs="Tahoma"/>
          <w:color w:val="auto"/>
          <w:highlight w:val="none"/>
        </w:rPr>
        <w:t>（一）竞买人未按《债权转让协议》约定的付款期限付清全部款项或违反协议约定的，应当承担违约责任，</w:t>
      </w:r>
      <w:r>
        <w:rPr>
          <w:rFonts w:hint="eastAsia"/>
          <w:color w:val="auto"/>
          <w:highlight w:val="none"/>
        </w:rPr>
        <w:t>中国长城资产广东分公司</w:t>
      </w:r>
      <w:r>
        <w:rPr>
          <w:rFonts w:hint="eastAsia" w:cs="Tahoma"/>
          <w:color w:val="auto"/>
          <w:highlight w:val="none"/>
        </w:rPr>
        <w:t>可扣收买受人支付的履约保证金并将竞价标的再行出售。竞价标的再行出售的，原买受人应当支付第一次竞价中本人及委托人应当支付的交易服务费。再行出售成交价款低于原成交价款的，原买受人应当补足差额。</w:t>
      </w:r>
    </w:p>
    <w:p>
      <w:pPr>
        <w:pStyle w:val="6"/>
        <w:spacing w:before="0" w:beforeAutospacing="0" w:after="0" w:afterAutospacing="0"/>
        <w:ind w:firstLine="360"/>
        <w:rPr>
          <w:rFonts w:cs="Tahoma"/>
          <w:color w:val="auto"/>
          <w:highlight w:val="none"/>
        </w:rPr>
      </w:pPr>
      <w:r>
        <w:rPr>
          <w:rFonts w:hint="eastAsia" w:cs="Tahoma"/>
          <w:color w:val="auto"/>
          <w:highlight w:val="none"/>
        </w:rPr>
        <w:t>（二）竞价标的竞买成交后，请买受人根据《债权转让协议》的约定到</w:t>
      </w:r>
      <w:r>
        <w:rPr>
          <w:rFonts w:hint="eastAsia"/>
          <w:color w:val="auto"/>
          <w:highlight w:val="none"/>
        </w:rPr>
        <w:t>中国长城资产广东分公司</w:t>
      </w:r>
      <w:r>
        <w:rPr>
          <w:rFonts w:hint="eastAsia" w:cs="Tahoma"/>
          <w:color w:val="auto"/>
          <w:highlight w:val="none"/>
        </w:rPr>
        <w:t>办理资产档案移交手续。买受人未按照约定受领标的的，应当支付由此产生的保管费用。 </w:t>
      </w:r>
    </w:p>
    <w:p>
      <w:pPr>
        <w:pStyle w:val="6"/>
        <w:spacing w:before="0" w:beforeAutospacing="0" w:after="0" w:afterAutospacing="0"/>
        <w:ind w:firstLine="360"/>
        <w:rPr>
          <w:rFonts w:ascii="Tahoma" w:hAnsi="Tahoma" w:cs="Tahoma"/>
          <w:color w:val="auto"/>
          <w:highlight w:val="none"/>
        </w:rPr>
      </w:pPr>
    </w:p>
    <w:p>
      <w:pPr>
        <w:pStyle w:val="6"/>
        <w:numPr>
          <w:ilvl w:val="0"/>
          <w:numId w:val="1"/>
        </w:numPr>
        <w:spacing w:before="0" w:beforeAutospacing="0" w:after="0" w:afterAutospacing="0"/>
        <w:ind w:firstLine="360"/>
        <w:rPr>
          <w:rFonts w:cs="Tahoma"/>
          <w:color w:val="auto"/>
          <w:highlight w:val="none"/>
        </w:rPr>
      </w:pPr>
      <w:r>
        <w:rPr>
          <w:rFonts w:hint="eastAsia" w:cs="Tahoma"/>
          <w:color w:val="auto"/>
          <w:highlight w:val="none"/>
        </w:rPr>
        <w:t>重要提示：</w:t>
      </w:r>
    </w:p>
    <w:p>
      <w:pPr>
        <w:pStyle w:val="6"/>
        <w:spacing w:before="0" w:beforeAutospacing="0" w:after="0" w:afterAutospacing="0"/>
        <w:rPr>
          <w:rFonts w:cs="Tahoma"/>
          <w:color w:val="auto"/>
          <w:highlight w:val="none"/>
        </w:rPr>
      </w:pPr>
    </w:p>
    <w:p>
      <w:pPr>
        <w:pStyle w:val="6"/>
        <w:spacing w:before="0" w:beforeAutospacing="0" w:after="0" w:afterAutospacing="0"/>
        <w:ind w:firstLine="360"/>
        <w:rPr>
          <w:rFonts w:cs="Tahoma"/>
          <w:color w:val="auto"/>
          <w:highlight w:val="none"/>
        </w:rPr>
      </w:pPr>
      <w:r>
        <w:rPr>
          <w:rFonts w:cs="Tahoma"/>
          <w:color w:val="auto"/>
          <w:highlight w:val="none"/>
        </w:rPr>
        <w:t>(一)竞买人报名并缴纳相关竞</w:t>
      </w:r>
      <w:r>
        <w:rPr>
          <w:rFonts w:hint="eastAsia" w:cs="Tahoma"/>
          <w:color w:val="auto"/>
          <w:highlight w:val="none"/>
        </w:rPr>
        <w:t>价</w:t>
      </w:r>
      <w:r>
        <w:rPr>
          <w:rFonts w:cs="Tahoma"/>
          <w:color w:val="auto"/>
          <w:highlight w:val="none"/>
        </w:rPr>
        <w:t>保证金，视为作出如下陈述：</w:t>
      </w:r>
    </w:p>
    <w:p>
      <w:pPr>
        <w:pStyle w:val="6"/>
        <w:spacing w:before="0" w:beforeAutospacing="0" w:after="0" w:afterAutospacing="0"/>
        <w:ind w:firstLine="360"/>
        <w:rPr>
          <w:rFonts w:cs="Tahoma"/>
          <w:color w:val="auto"/>
          <w:highlight w:val="none"/>
        </w:rPr>
      </w:pPr>
    </w:p>
    <w:p>
      <w:pPr>
        <w:widowControl/>
        <w:snapToGrid w:val="0"/>
        <w:spacing w:line="460" w:lineRule="exact"/>
        <w:ind w:firstLine="537" w:firstLineChars="224"/>
        <w:jc w:val="left"/>
        <w:rPr>
          <w:rFonts w:hint="default"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1、</w:t>
      </w:r>
      <w:r>
        <w:rPr>
          <w:rFonts w:ascii="宋体" w:hAnsi="宋体" w:eastAsia="宋体" w:cs="Tahoma"/>
          <w:color w:val="auto"/>
          <w:kern w:val="0"/>
          <w:sz w:val="24"/>
          <w:szCs w:val="24"/>
          <w:highlight w:val="none"/>
        </w:rPr>
        <w:t>竞买人资格。竞买人是</w:t>
      </w:r>
      <w:r>
        <w:rPr>
          <w:rFonts w:hint="default" w:ascii="宋体" w:hAnsi="宋体" w:eastAsia="宋体" w:cs="Tahoma"/>
          <w:color w:val="auto"/>
          <w:kern w:val="0"/>
          <w:sz w:val="24"/>
          <w:szCs w:val="24"/>
          <w:highlight w:val="none"/>
        </w:rPr>
        <w:t>具有完全民事行为能力、支付能力的法人、非法人组织或自然人，但不属于以下主体：</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1</w:t>
      </w:r>
      <w:r>
        <w:rPr>
          <w:rFonts w:hint="default" w:ascii="宋体" w:hAnsi="宋体" w:eastAsia="宋体" w:cs="Tahoma"/>
          <w:color w:val="auto"/>
          <w:kern w:val="0"/>
          <w:sz w:val="24"/>
          <w:szCs w:val="24"/>
          <w:highlight w:val="none"/>
        </w:rPr>
        <w:t>）国家公务员、金融监管机构工作人员、政法干警、金融资产管理公司工作人员、原债务企业管理层</w:t>
      </w:r>
      <w:r>
        <w:rPr>
          <w:rFonts w:ascii="宋体" w:hAnsi="宋体" w:eastAsia="宋体" w:cs="Tahoma"/>
          <w:color w:val="auto"/>
          <w:kern w:val="0"/>
          <w:sz w:val="24"/>
          <w:szCs w:val="24"/>
          <w:highlight w:val="none"/>
        </w:rPr>
        <w:t>;</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hint="default" w:ascii="宋体" w:hAnsi="宋体" w:eastAsia="宋体" w:cs="Tahoma"/>
          <w:color w:val="auto"/>
          <w:kern w:val="0"/>
          <w:sz w:val="24"/>
          <w:szCs w:val="24"/>
          <w:highlight w:val="none"/>
          <w:lang w:val="en-US" w:eastAsia="zh-CN"/>
        </w:rPr>
        <w:t>2</w:t>
      </w:r>
      <w:r>
        <w:rPr>
          <w:rFonts w:hint="default" w:ascii="宋体" w:hAnsi="宋体" w:eastAsia="宋体" w:cs="Tahoma"/>
          <w:color w:val="auto"/>
          <w:kern w:val="0"/>
          <w:sz w:val="24"/>
          <w:szCs w:val="24"/>
          <w:highlight w:val="none"/>
        </w:rPr>
        <w:t>）该项资产处置工作相关的律师、会计师、评估师等中介机构所属人员，或者该项资产处置工作相关的律师、会计师、评估师等中介机构所属人员参与的非金融机构法人；</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3</w:t>
      </w:r>
      <w:r>
        <w:rPr>
          <w:rFonts w:hint="default" w:ascii="宋体" w:hAnsi="宋体" w:eastAsia="宋体" w:cs="Tahoma"/>
          <w:color w:val="auto"/>
          <w:kern w:val="0"/>
          <w:sz w:val="24"/>
          <w:szCs w:val="24"/>
          <w:highlight w:val="none"/>
        </w:rPr>
        <w:t>）与参与资产处置的金融资产管理公司工作人员、原债务企业或者受托资产评估机构负责人员等有直系亲属关系的人员；</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4</w:t>
      </w:r>
      <w:r>
        <w:rPr>
          <w:rFonts w:hint="default" w:ascii="宋体" w:hAnsi="宋体" w:eastAsia="宋体" w:cs="Tahoma"/>
          <w:color w:val="auto"/>
          <w:kern w:val="0"/>
          <w:sz w:val="24"/>
          <w:szCs w:val="24"/>
          <w:highlight w:val="none"/>
        </w:rPr>
        <w:t>）债权资产项下的债务人、担保人为自然人的，其本人及其直系亲属；</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5</w:t>
      </w:r>
      <w:r>
        <w:rPr>
          <w:rFonts w:hint="default" w:ascii="宋体" w:hAnsi="宋体" w:eastAsia="宋体" w:cs="Tahoma"/>
          <w:color w:val="auto"/>
          <w:kern w:val="0"/>
          <w:sz w:val="24"/>
          <w:szCs w:val="24"/>
          <w:highlight w:val="none"/>
        </w:rPr>
        <w:t>）债权资产项下的债务企业的控股股东、实际控制人及其控股下属公司，担保企业及其控股下属公司，债务企业的其他关联企业；</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6</w:t>
      </w:r>
      <w:r>
        <w:rPr>
          <w:rFonts w:hint="default" w:ascii="宋体" w:hAnsi="宋体" w:eastAsia="宋体" w:cs="Tahoma"/>
          <w:color w:val="auto"/>
          <w:kern w:val="0"/>
          <w:sz w:val="24"/>
          <w:szCs w:val="24"/>
          <w:highlight w:val="none"/>
        </w:rPr>
        <w:t>）前述（</w:t>
      </w:r>
      <w:r>
        <w:rPr>
          <w:rFonts w:ascii="宋体" w:hAnsi="宋体" w:eastAsia="宋体" w:cs="Tahoma"/>
          <w:color w:val="auto"/>
          <w:kern w:val="0"/>
          <w:sz w:val="24"/>
          <w:szCs w:val="24"/>
          <w:highlight w:val="none"/>
        </w:rPr>
        <w:t>1</w:t>
      </w:r>
      <w:r>
        <w:rPr>
          <w:rFonts w:hint="default" w:ascii="宋体" w:hAnsi="宋体" w:eastAsia="宋体" w:cs="Tahoma"/>
          <w:color w:val="auto"/>
          <w:kern w:val="0"/>
          <w:sz w:val="24"/>
          <w:szCs w:val="24"/>
          <w:highlight w:val="none"/>
        </w:rPr>
        <w:t>）至（</w:t>
      </w:r>
      <w:r>
        <w:rPr>
          <w:rFonts w:ascii="宋体" w:hAnsi="宋体" w:eastAsia="宋体" w:cs="Tahoma"/>
          <w:color w:val="auto"/>
          <w:kern w:val="0"/>
          <w:sz w:val="24"/>
          <w:szCs w:val="24"/>
          <w:highlight w:val="none"/>
        </w:rPr>
        <w:t>5</w:t>
      </w:r>
      <w:r>
        <w:rPr>
          <w:rFonts w:hint="default" w:ascii="宋体" w:hAnsi="宋体" w:eastAsia="宋体" w:cs="Tahoma"/>
          <w:color w:val="auto"/>
          <w:kern w:val="0"/>
          <w:sz w:val="24"/>
          <w:szCs w:val="24"/>
          <w:highlight w:val="none"/>
        </w:rPr>
        <w:t>）项主体出资成立的法人机构或特殊目的实体；</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7</w:t>
      </w:r>
      <w:r>
        <w:rPr>
          <w:rFonts w:hint="default" w:ascii="宋体" w:hAnsi="宋体" w:eastAsia="宋体" w:cs="Tahoma"/>
          <w:color w:val="auto"/>
          <w:kern w:val="0"/>
          <w:sz w:val="24"/>
          <w:szCs w:val="24"/>
          <w:highlight w:val="none"/>
        </w:rPr>
        <w:t>）失信被执行人；</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8</w:t>
      </w:r>
      <w:r>
        <w:rPr>
          <w:rFonts w:hint="default" w:ascii="宋体" w:hAnsi="宋体" w:eastAsia="宋体" w:cs="Tahoma"/>
          <w:color w:val="auto"/>
          <w:kern w:val="0"/>
          <w:sz w:val="24"/>
          <w:szCs w:val="24"/>
          <w:highlight w:val="none"/>
        </w:rPr>
        <w:t>）国家金融监督管理总局认定的其他不宜受让的主体；</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w:t>
      </w:r>
      <w:r>
        <w:rPr>
          <w:rFonts w:ascii="宋体" w:hAnsi="宋体" w:eastAsia="宋体" w:cs="Tahoma"/>
          <w:color w:val="auto"/>
          <w:kern w:val="0"/>
          <w:sz w:val="24"/>
          <w:szCs w:val="24"/>
          <w:highlight w:val="none"/>
        </w:rPr>
        <w:t>9</w:t>
      </w:r>
      <w:r>
        <w:rPr>
          <w:rFonts w:hint="default" w:ascii="宋体" w:hAnsi="宋体" w:eastAsia="宋体" w:cs="Tahoma"/>
          <w:color w:val="auto"/>
          <w:kern w:val="0"/>
          <w:sz w:val="24"/>
          <w:szCs w:val="24"/>
          <w:highlight w:val="none"/>
        </w:rPr>
        <w:t>）其他依据法律法规和监管规章不得购买的主体。</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竞买人亦不属于前述主体投资、控制或享有其他权益的企业或其他实体，并进一步保证不向前述主体或其投资、控制的实体转让标的债权。</w:t>
      </w:r>
    </w:p>
    <w:p>
      <w:pPr>
        <w:widowControl/>
        <w:snapToGrid w:val="0"/>
        <w:spacing w:line="460" w:lineRule="exact"/>
        <w:ind w:firstLine="537" w:firstLineChars="224"/>
        <w:jc w:val="left"/>
        <w:rPr>
          <w:rFonts w:ascii="宋体" w:hAnsi="宋体" w:eastAsia="宋体" w:cs="Tahoma"/>
          <w:color w:val="auto"/>
          <w:kern w:val="0"/>
          <w:sz w:val="24"/>
          <w:szCs w:val="24"/>
          <w:highlight w:val="none"/>
        </w:rPr>
      </w:pPr>
      <w:r>
        <w:rPr>
          <w:rFonts w:hint="default" w:ascii="宋体" w:hAnsi="宋体" w:eastAsia="宋体" w:cs="Tahoma"/>
          <w:color w:val="auto"/>
          <w:kern w:val="0"/>
          <w:sz w:val="24"/>
          <w:szCs w:val="24"/>
          <w:highlight w:val="none"/>
        </w:rPr>
        <w:t>竞买人支付转让价款的资金来源应合法、合规，且为竞买人依法可支配的财产。</w:t>
      </w:r>
    </w:p>
    <w:p>
      <w:pPr>
        <w:pStyle w:val="6"/>
        <w:spacing w:before="0" w:beforeAutospacing="0" w:after="0" w:afterAutospacing="0"/>
        <w:ind w:firstLine="480"/>
        <w:rPr>
          <w:rFonts w:cs="Tahoma"/>
          <w:color w:val="auto"/>
          <w:highlight w:val="none"/>
        </w:rPr>
      </w:pPr>
    </w:p>
    <w:p>
      <w:pPr>
        <w:pStyle w:val="6"/>
        <w:spacing w:before="0" w:beforeAutospacing="0" w:after="0" w:afterAutospacing="0"/>
        <w:ind w:firstLine="480" w:firstLineChars="200"/>
        <w:rPr>
          <w:rFonts w:cs="Tahoma"/>
          <w:color w:val="auto"/>
          <w:highlight w:val="none"/>
        </w:rPr>
      </w:pPr>
      <w:r>
        <w:rPr>
          <w:rFonts w:hint="eastAsia" w:cs="Tahoma"/>
          <w:color w:val="auto"/>
          <w:highlight w:val="none"/>
        </w:rPr>
        <w:t>2、交易文件知悉。竞买人仔细阅读并理解了中国长城资产广东分公司发布的《竞买公告》《竞买须知》</w:t>
      </w:r>
      <w:r>
        <w:rPr>
          <w:rFonts w:hint="eastAsia" w:ascii="宋体" w:hAnsi="宋体" w:eastAsia="宋体" w:cs="Tahoma"/>
          <w:b w:val="0"/>
          <w:color w:val="auto"/>
          <w:highlight w:val="none"/>
        </w:rPr>
        <w:t>《债权转让协议》</w:t>
      </w:r>
      <w:r>
        <w:rPr>
          <w:rFonts w:hint="eastAsia" w:cs="Tahoma"/>
          <w:color w:val="auto"/>
          <w:highlight w:val="none"/>
        </w:rPr>
        <w:t>等文件，并完全接受上述文件所规定的交易条件，没有任何异议。</w:t>
      </w:r>
    </w:p>
    <w:p>
      <w:pPr>
        <w:pStyle w:val="6"/>
        <w:spacing w:before="0" w:beforeAutospacing="0" w:after="0" w:afterAutospacing="0"/>
        <w:rPr>
          <w:rFonts w:cs="Tahoma"/>
          <w:color w:val="auto"/>
          <w:highlight w:val="none"/>
        </w:rPr>
      </w:pPr>
    </w:p>
    <w:p>
      <w:pPr>
        <w:pStyle w:val="6"/>
        <w:spacing w:before="0" w:beforeAutospacing="0" w:after="0" w:afterAutospacing="0"/>
        <w:ind w:firstLine="480" w:firstLineChars="200"/>
        <w:rPr>
          <w:rFonts w:cs="Tahoma"/>
          <w:color w:val="auto"/>
          <w:highlight w:val="none"/>
        </w:rPr>
      </w:pPr>
      <w:r>
        <w:rPr>
          <w:rFonts w:hint="eastAsia" w:cs="Tahoma"/>
          <w:color w:val="auto"/>
          <w:highlight w:val="none"/>
        </w:rPr>
        <w:t>3、风险和瑕疵知悉。</w:t>
      </w:r>
      <w:r>
        <w:rPr>
          <w:rFonts w:hint="eastAsia"/>
          <w:color w:val="auto"/>
          <w:highlight w:val="none"/>
        </w:rPr>
        <w:t>中国长城资产广东分公司</w:t>
      </w:r>
      <w:r>
        <w:rPr>
          <w:rFonts w:hint="eastAsia" w:cs="Tahoma"/>
          <w:color w:val="auto"/>
          <w:highlight w:val="none"/>
        </w:rPr>
        <w:t>已经对竞价标的的来源、瑕疵和风险进行了充分的提示和披露，竞买人已经对竞价标的的来源、瑕疵和风险进行了充分尽职调查，完全知悉并接受竞价标的的所有瑕疵、风险。</w:t>
      </w:r>
    </w:p>
    <w:p>
      <w:pPr>
        <w:pStyle w:val="6"/>
        <w:spacing w:before="0" w:beforeAutospacing="0" w:after="0" w:afterAutospacing="0"/>
        <w:rPr>
          <w:rFonts w:cs="Tahoma"/>
          <w:color w:val="auto"/>
          <w:highlight w:val="none"/>
        </w:rPr>
      </w:pPr>
    </w:p>
    <w:p>
      <w:pPr>
        <w:pStyle w:val="6"/>
        <w:numPr>
          <w:ilvl w:val="0"/>
          <w:numId w:val="2"/>
        </w:numPr>
        <w:spacing w:before="0" w:beforeAutospacing="0" w:after="0" w:afterAutospacing="0"/>
        <w:ind w:firstLine="480" w:firstLineChars="200"/>
        <w:rPr>
          <w:rFonts w:cs="Tahoma"/>
          <w:color w:val="auto"/>
          <w:highlight w:val="none"/>
        </w:rPr>
      </w:pPr>
      <w:r>
        <w:rPr>
          <w:rFonts w:hint="eastAsia" w:cs="Tahoma"/>
          <w:color w:val="auto"/>
          <w:highlight w:val="none"/>
        </w:rPr>
        <w:t>竞买人已被告知并完全理解，竞买人受让债权后，由于相关法律法规规章政策限制，导致竞买人能够行使的竞价标的数额可能小于竞价标的介绍中列明的竞价标的数额。相关法律法规规章政策包括但不限于：</w:t>
      </w:r>
    </w:p>
    <w:p>
      <w:pPr>
        <w:pStyle w:val="6"/>
        <w:spacing w:before="0" w:beforeAutospacing="0" w:after="0" w:afterAutospacing="0"/>
        <w:rPr>
          <w:rFonts w:cs="Tahoma"/>
          <w:color w:val="auto"/>
          <w:highlight w:val="none"/>
        </w:rPr>
      </w:pPr>
    </w:p>
    <w:p>
      <w:pPr>
        <w:pStyle w:val="6"/>
        <w:spacing w:before="0" w:beforeAutospacing="0" w:after="0" w:afterAutospacing="0"/>
        <w:ind w:firstLine="480" w:firstLineChars="200"/>
        <w:rPr>
          <w:rFonts w:ascii="Tahoma" w:hAnsi="Tahoma" w:cs="Tahoma"/>
          <w:color w:val="auto"/>
          <w:highlight w:val="none"/>
        </w:rPr>
      </w:pPr>
      <w:r>
        <w:rPr>
          <w:rFonts w:hint="eastAsia" w:cs="Tahoma"/>
          <w:color w:val="auto"/>
          <w:highlight w:val="none"/>
        </w:rPr>
        <w:t>A.《中华人民共和国民法典》第五百四十七条：债权人转让债权的，受让人取得与债权有关的从权利，但该从权利专属于债权人自身的除外；</w:t>
      </w:r>
    </w:p>
    <w:p>
      <w:pPr>
        <w:pStyle w:val="6"/>
        <w:spacing w:before="0" w:beforeAutospacing="0" w:after="0" w:afterAutospacing="0"/>
        <w:ind w:firstLine="480" w:firstLineChars="200"/>
        <w:rPr>
          <w:rFonts w:cs="Tahoma"/>
          <w:color w:val="auto"/>
          <w:highlight w:val="none"/>
        </w:rPr>
      </w:pPr>
      <w:r>
        <w:rPr>
          <w:rFonts w:hint="eastAsia" w:cs="Tahoma"/>
          <w:color w:val="auto"/>
          <w:highlight w:val="none"/>
          <w:lang w:val="en-US" w:eastAsia="zh-CN"/>
        </w:rPr>
        <w:t>B</w:t>
      </w:r>
      <w:r>
        <w:rPr>
          <w:rFonts w:hint="eastAsia" w:cs="Tahoma"/>
          <w:color w:val="auto"/>
          <w:highlight w:val="none"/>
        </w:rPr>
        <w:t>.《关于印发&lt;人民币利率管理&gt;规定的通知》（银发[1999]77号）相关规定。</w:t>
      </w:r>
    </w:p>
    <w:p>
      <w:pPr>
        <w:pStyle w:val="6"/>
        <w:spacing w:before="0" w:beforeAutospacing="0" w:after="0" w:afterAutospacing="0"/>
        <w:ind w:firstLine="480" w:firstLineChars="200"/>
        <w:rPr>
          <w:rFonts w:cs="Tahoma"/>
          <w:color w:val="auto"/>
          <w:highlight w:val="none"/>
        </w:rPr>
      </w:pPr>
      <w:r>
        <w:rPr>
          <w:rFonts w:hint="eastAsia" w:cs="Tahoma"/>
          <w:color w:val="auto"/>
          <w:highlight w:val="none"/>
        </w:rPr>
        <w:t>5、竞买人已被告知并完全理解，竞买人成为买受人并受让竞价标的后，对该竞价标的在基准日以后产生的利息、罚息、复利的请求权，买受人可能无法继续享有。</w:t>
      </w:r>
    </w:p>
    <w:p>
      <w:pPr>
        <w:pStyle w:val="6"/>
        <w:spacing w:before="0" w:beforeAutospacing="0" w:after="0" w:afterAutospacing="0"/>
        <w:ind w:firstLine="480" w:firstLineChars="200"/>
        <w:rPr>
          <w:rFonts w:cs="Tahoma"/>
          <w:color w:val="auto"/>
          <w:highlight w:val="none"/>
        </w:rPr>
      </w:pPr>
      <w:r>
        <w:rPr>
          <w:rFonts w:hint="eastAsia" w:cs="Tahoma"/>
          <w:color w:val="auto"/>
          <w:highlight w:val="none"/>
        </w:rPr>
        <w:t>6、竞买人已被告知并完全理解，竞买人成为买受人并受让竞价标的后，可能无法享有中国长城资产广东分公司所享有的国家法律政策规定的各项优惠条件和特殊保护，包括但不限于税收和诉讼方面的优惠和特殊保护。</w:t>
      </w:r>
    </w:p>
    <w:p>
      <w:pPr>
        <w:pStyle w:val="6"/>
        <w:spacing w:before="0" w:beforeAutospacing="0" w:after="0" w:afterAutospacing="0"/>
        <w:ind w:firstLine="480" w:firstLineChars="200"/>
        <w:rPr>
          <w:rFonts w:cs="Tahoma"/>
          <w:color w:val="auto"/>
          <w:highlight w:val="none"/>
        </w:rPr>
      </w:pPr>
      <w:r>
        <w:rPr>
          <w:rFonts w:hint="eastAsia" w:cs="Tahoma"/>
          <w:color w:val="auto"/>
          <w:highlight w:val="none"/>
        </w:rPr>
        <w:t>7、竞买人已被告知、仔细阅读并完全理解竞价标的介绍揭示的风险，自愿承担由上述风险造成的一切损失以及不能获得相应预期利益的后果。竞买人已经知悉，竞价标的项下标的债权存在或可能存在着瑕疵或尚未发现的缺陷，包括但不限于下列一项或多项：</w:t>
      </w:r>
    </w:p>
    <w:p>
      <w:pPr>
        <w:pStyle w:val="6"/>
        <w:ind w:firstLine="360"/>
        <w:rPr>
          <w:rFonts w:cs="Tahoma"/>
          <w:color w:val="auto"/>
          <w:highlight w:val="none"/>
        </w:rPr>
      </w:pPr>
      <w:r>
        <w:rPr>
          <w:rFonts w:hint="eastAsia" w:cs="Tahoma"/>
          <w:color w:val="auto"/>
          <w:highlight w:val="none"/>
        </w:rPr>
        <w:t>（1）标的债权</w:t>
      </w:r>
      <w:r>
        <w:rPr>
          <w:rFonts w:hint="eastAsia" w:cs="Tahoma"/>
          <w:color w:val="auto"/>
          <w:highlight w:val="none"/>
          <w:lang w:val="en-US" w:eastAsia="zh-CN"/>
        </w:rPr>
        <w:t>已逾期</w:t>
      </w:r>
      <w:r>
        <w:rPr>
          <w:rFonts w:hint="eastAsia" w:cs="Tahoma"/>
          <w:color w:val="auto"/>
          <w:highlight w:val="none"/>
        </w:rPr>
        <w:t>，存在着部分或全部不能回收的风险特性以及清收的困难性；</w:t>
      </w:r>
    </w:p>
    <w:p>
      <w:pPr>
        <w:pStyle w:val="6"/>
        <w:ind w:firstLine="360"/>
        <w:rPr>
          <w:rFonts w:cs="Tahoma"/>
          <w:color w:val="auto"/>
          <w:highlight w:val="none"/>
        </w:rPr>
      </w:pPr>
      <w:r>
        <w:rPr>
          <w:rFonts w:hint="eastAsia" w:cs="Tahoma"/>
          <w:color w:val="auto"/>
          <w:highlight w:val="none"/>
        </w:rPr>
        <w:t>（2）由于存在的计算误差或其他原因，竞买人实际接收的标的债权金额与本公告载明的金额不完全一致；基于有关司法政策文件，竞买人受让标的债权后向债务人或担保人所能主张并获得司法支持的利息与本公告所列明的利息不完全一致；</w:t>
      </w:r>
    </w:p>
    <w:p>
      <w:pPr>
        <w:pStyle w:val="6"/>
        <w:ind w:firstLine="360"/>
        <w:rPr>
          <w:rFonts w:cs="Tahoma"/>
          <w:color w:val="auto"/>
          <w:highlight w:val="none"/>
        </w:rPr>
      </w:pPr>
      <w:r>
        <w:rPr>
          <w:rFonts w:hint="eastAsia" w:cs="Tahoma"/>
          <w:color w:val="auto"/>
          <w:highlight w:val="none"/>
        </w:rPr>
        <w:t>（3）标的债权项下借款人、担保人或其他与标的债权相关的责任主体存在破产、被解散/注销/撤销/关闭/吊销、歇业、停业、下落不明以及其他主体存续性瑕疵的情形；</w:t>
      </w:r>
    </w:p>
    <w:p>
      <w:pPr>
        <w:pStyle w:val="6"/>
        <w:ind w:firstLine="360"/>
        <w:rPr>
          <w:rFonts w:cs="Tahoma"/>
          <w:color w:val="auto"/>
          <w:highlight w:val="none"/>
        </w:rPr>
      </w:pPr>
      <w:r>
        <w:rPr>
          <w:rFonts w:hint="eastAsia" w:cs="Tahoma"/>
          <w:color w:val="auto"/>
          <w:highlight w:val="none"/>
        </w:rPr>
        <w:t>（4）标的债权及担保权利已超过诉讼时效、法定或约定时效或丧失其他相关的期间利益或因其他原因已部分或全部丧失或不能被强制执行的情形，包括但不限于债权转让暨催收公告或通知中有关债权催收的内容不能起到中断诉讼时效的作用；</w:t>
      </w:r>
    </w:p>
    <w:p>
      <w:pPr>
        <w:pStyle w:val="6"/>
        <w:ind w:firstLine="360"/>
        <w:rPr>
          <w:rFonts w:cs="Tahoma"/>
          <w:color w:val="auto"/>
          <w:highlight w:val="none"/>
        </w:rPr>
      </w:pPr>
      <w:r>
        <w:rPr>
          <w:rFonts w:hint="eastAsia" w:cs="Tahoma"/>
          <w:color w:val="auto"/>
          <w:highlight w:val="none"/>
        </w:rPr>
        <w:t>（5）标的债权以及项下担保权利未生效、无效、消灭、被撤销或已过诉讼时效、担保期间等情形；</w:t>
      </w:r>
    </w:p>
    <w:p>
      <w:pPr>
        <w:pStyle w:val="6"/>
        <w:ind w:firstLine="360"/>
        <w:rPr>
          <w:rFonts w:cs="Tahoma"/>
          <w:color w:val="auto"/>
          <w:highlight w:val="none"/>
        </w:rPr>
      </w:pPr>
      <w:r>
        <w:rPr>
          <w:rFonts w:hint="eastAsia" w:cs="Tahoma"/>
          <w:color w:val="auto"/>
          <w:highlight w:val="none"/>
        </w:rPr>
        <w:t>（6）标的债权证明文件存在不完整、不真实、原件缺失、内容冲突等相关情形；</w:t>
      </w:r>
    </w:p>
    <w:p>
      <w:pPr>
        <w:pStyle w:val="6"/>
        <w:ind w:firstLine="360"/>
        <w:rPr>
          <w:rFonts w:cs="Tahoma"/>
          <w:color w:val="auto"/>
          <w:highlight w:val="none"/>
        </w:rPr>
      </w:pPr>
      <w:r>
        <w:rPr>
          <w:rFonts w:hint="eastAsia" w:cs="Tahoma"/>
          <w:color w:val="auto"/>
          <w:highlight w:val="none"/>
        </w:rPr>
        <w:t>（7）担保物、抵债资产（协议抵债且未办理过户）发生灭失、毁损、已被司法处置、对外租赁（且租期不详）、设定居住权、或存在欠缴税费或土地出让金、无相关权属证明、不能办理权属变更手续、不能实际占有、丧失使用价值或其他减损担保物、抵债资产价值的相关情形；</w:t>
      </w:r>
    </w:p>
    <w:p>
      <w:pPr>
        <w:pStyle w:val="6"/>
        <w:ind w:firstLine="360"/>
        <w:rPr>
          <w:rFonts w:cs="Tahoma"/>
          <w:color w:val="auto"/>
          <w:highlight w:val="none"/>
        </w:rPr>
      </w:pPr>
      <w:r>
        <w:rPr>
          <w:rFonts w:hint="eastAsia" w:cs="Tahoma"/>
          <w:color w:val="auto"/>
          <w:highlight w:val="none"/>
        </w:rPr>
        <w:t>（8）担保合同存在约定主债权未经担保人同意不可转让或担保人只对特定债权人承担担保责任的情形；</w:t>
      </w:r>
    </w:p>
    <w:p>
      <w:pPr>
        <w:pStyle w:val="6"/>
        <w:ind w:firstLine="360"/>
        <w:rPr>
          <w:rFonts w:cs="Tahoma"/>
          <w:color w:val="auto"/>
          <w:highlight w:val="none"/>
        </w:rPr>
      </w:pPr>
      <w:r>
        <w:rPr>
          <w:rFonts w:hint="eastAsia" w:cs="Tahoma"/>
          <w:color w:val="auto"/>
          <w:highlight w:val="none"/>
        </w:rPr>
        <w:t>（9）涉诉标的债权存在全部或部分败诉、不能变更诉讼（含执行、仲裁）主体、相关诉讼、仲裁、执行费用未付、被执行财产的保全期限已经过期等情形，涉诉标的债权在交割前已诉讼终结、仲裁终结、执行终结或破产终结；</w:t>
      </w:r>
    </w:p>
    <w:p>
      <w:pPr>
        <w:pStyle w:val="6"/>
        <w:spacing w:before="0" w:beforeAutospacing="0" w:after="0" w:afterAutospacing="0"/>
        <w:ind w:firstLine="360"/>
        <w:rPr>
          <w:rFonts w:cs="Tahoma"/>
          <w:b/>
          <w:color w:val="auto"/>
          <w:highlight w:val="none"/>
        </w:rPr>
      </w:pPr>
      <w:r>
        <w:rPr>
          <w:rFonts w:hint="eastAsia" w:cs="Tahoma"/>
          <w:color w:val="auto"/>
          <w:highlight w:val="none"/>
        </w:rPr>
        <w:t>（10）标的债权事实上已经全部或部分灭失。</w:t>
      </w: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ascii="Tahoma" w:hAnsi="Tahoma" w:cs="Tahoma"/>
          <w:color w:val="auto"/>
          <w:highlight w:val="none"/>
        </w:rPr>
      </w:pPr>
      <w:r>
        <w:rPr>
          <w:rFonts w:cs="Tahoma"/>
          <w:color w:val="auto"/>
          <w:highlight w:val="none"/>
        </w:rPr>
        <w:t>（二）竞买人成为买受人后的特别承诺</w:t>
      </w:r>
      <w:r>
        <w:rPr>
          <w:rFonts w:hint="eastAsia" w:cs="Tahoma"/>
          <w:color w:val="auto"/>
          <w:highlight w:val="none"/>
        </w:rPr>
        <w:t>：</w:t>
      </w:r>
    </w:p>
    <w:p>
      <w:pPr>
        <w:pStyle w:val="6"/>
        <w:tabs>
          <w:tab w:val="left" w:pos="7513"/>
          <w:tab w:val="left" w:pos="8080"/>
        </w:tabs>
        <w:spacing w:before="0" w:beforeAutospacing="0" w:after="0" w:afterAutospacing="0"/>
        <w:ind w:firstLine="360"/>
        <w:rPr>
          <w:rFonts w:ascii="Tahoma" w:hAnsi="Tahoma" w:cs="Tahoma"/>
          <w:color w:val="auto"/>
          <w:highlight w:val="none"/>
        </w:rPr>
      </w:pPr>
      <w:r>
        <w:rPr>
          <w:rFonts w:cs="Tahoma"/>
          <w:color w:val="auto"/>
          <w:highlight w:val="none"/>
        </w:rPr>
        <w:t>1、</w:t>
      </w:r>
      <w:r>
        <w:rPr>
          <w:rFonts w:hint="eastAsia" w:cs="Tahoma"/>
          <w:color w:val="auto"/>
          <w:highlight w:val="none"/>
        </w:rPr>
        <w:t>竞买人承诺，</w:t>
      </w:r>
      <w:r>
        <w:rPr>
          <w:rFonts w:cs="Tahoma"/>
          <w:color w:val="auto"/>
          <w:highlight w:val="none"/>
        </w:rPr>
        <w:t>竞买成功后，在交接期间内，当</w:t>
      </w:r>
      <w:r>
        <w:rPr>
          <w:rFonts w:hint="eastAsia"/>
          <w:color w:val="auto"/>
          <w:highlight w:val="none"/>
        </w:rPr>
        <w:t>中国长城资产广东分公司</w:t>
      </w:r>
      <w:r>
        <w:rPr>
          <w:rFonts w:cs="Tahoma"/>
          <w:color w:val="auto"/>
          <w:highlight w:val="none"/>
        </w:rPr>
        <w:t>将竞价标的文件交付给竞买人时，竞买人应及时受领竞价标的文件并在随附的竞价标的文件清单上签字。如竞买人不及时受领竞价标的文件，则自愿承担迟延受领竞价标的文件所产生的一切法律后果。在交接期后，竞买人无权再就竞价标的文件及其交付范围向</w:t>
      </w:r>
      <w:r>
        <w:rPr>
          <w:rFonts w:hint="eastAsia"/>
          <w:color w:val="auto"/>
          <w:highlight w:val="none"/>
        </w:rPr>
        <w:t>中国长城资产广东分公司</w:t>
      </w:r>
      <w:r>
        <w:rPr>
          <w:rFonts w:cs="Tahoma"/>
          <w:color w:val="auto"/>
          <w:highlight w:val="none"/>
        </w:rPr>
        <w:t>提出任何主张。</w:t>
      </w:r>
    </w:p>
    <w:p>
      <w:pPr>
        <w:pStyle w:val="6"/>
        <w:spacing w:before="0" w:beforeAutospacing="0" w:after="0" w:afterAutospacing="0"/>
        <w:ind w:firstLine="360"/>
        <w:rPr>
          <w:rFonts w:ascii="Tahoma" w:hAnsi="Tahoma" w:cs="Tahoma"/>
          <w:color w:val="auto"/>
          <w:highlight w:val="none"/>
        </w:rPr>
      </w:pPr>
      <w:r>
        <w:rPr>
          <w:rFonts w:cs="Tahoma"/>
          <w:color w:val="auto"/>
          <w:highlight w:val="none"/>
        </w:rPr>
        <w:t>2、风险和瑕疵概括承受。竞买人承诺，一旦竞买成交，竞买人作为买受人将按照竞价标的的</w:t>
      </w:r>
      <w:r>
        <w:rPr>
          <w:rFonts w:hint="eastAsia" w:cs="Tahoma"/>
          <w:color w:val="auto"/>
          <w:highlight w:val="none"/>
        </w:rPr>
        <w:t>基准日</w:t>
      </w:r>
      <w:r>
        <w:rPr>
          <w:rFonts w:cs="Tahoma"/>
          <w:color w:val="auto"/>
          <w:highlight w:val="none"/>
        </w:rPr>
        <w:t>现状受让竞价标的，接受竞价标的的瑕疵和风险，不因</w:t>
      </w:r>
      <w:r>
        <w:rPr>
          <w:rFonts w:hint="eastAsia" w:cs="Tahoma"/>
          <w:color w:val="auto"/>
          <w:highlight w:val="none"/>
        </w:rPr>
        <w:t>竞价</w:t>
      </w:r>
      <w:r>
        <w:rPr>
          <w:rFonts w:cs="Tahoma"/>
          <w:color w:val="auto"/>
          <w:highlight w:val="none"/>
        </w:rPr>
        <w:t>标的的来源、瑕疵和风险，而请求</w:t>
      </w:r>
      <w:r>
        <w:rPr>
          <w:rFonts w:hint="eastAsia"/>
          <w:color w:val="auto"/>
          <w:highlight w:val="none"/>
        </w:rPr>
        <w:t>中国长城资产广东分公司</w:t>
      </w:r>
      <w:r>
        <w:rPr>
          <w:rFonts w:hint="eastAsia" w:cs="Tahoma"/>
          <w:color w:val="auto"/>
          <w:highlight w:val="none"/>
        </w:rPr>
        <w:t>或原债权银行</w:t>
      </w:r>
      <w:r>
        <w:rPr>
          <w:rFonts w:cs="Tahoma"/>
          <w:color w:val="auto"/>
          <w:highlight w:val="none"/>
        </w:rPr>
        <w:t>承担相应责任，或以此作为竞买人履行约定或法定义务的抗辩。竞价标的自</w:t>
      </w:r>
      <w:r>
        <w:rPr>
          <w:rFonts w:hint="eastAsia" w:cs="Tahoma"/>
          <w:color w:val="auto"/>
          <w:highlight w:val="none"/>
        </w:rPr>
        <w:t>基准日</w:t>
      </w:r>
      <w:r>
        <w:rPr>
          <w:rFonts w:cs="Tahoma"/>
          <w:color w:val="auto"/>
          <w:highlight w:val="none"/>
        </w:rPr>
        <w:t>至竞价标的移转给买受人之</w:t>
      </w:r>
      <w:r>
        <w:rPr>
          <w:rFonts w:hint="eastAsia" w:cs="Tahoma"/>
          <w:color w:val="auto"/>
          <w:highlight w:val="none"/>
        </w:rPr>
        <w:t>日</w:t>
      </w:r>
      <w:r>
        <w:rPr>
          <w:rFonts w:cs="Tahoma"/>
          <w:color w:val="auto"/>
          <w:highlight w:val="none"/>
        </w:rPr>
        <w:t>发生变化的，买受人承认并接受该变化，不因竞价标的的变化而请求</w:t>
      </w:r>
      <w:r>
        <w:rPr>
          <w:rFonts w:hint="eastAsia"/>
          <w:color w:val="auto"/>
          <w:highlight w:val="none"/>
        </w:rPr>
        <w:t>中国长城资产广东分公司</w:t>
      </w:r>
      <w:r>
        <w:rPr>
          <w:rFonts w:hint="eastAsia" w:cs="Tahoma"/>
          <w:color w:val="auto"/>
          <w:highlight w:val="none"/>
        </w:rPr>
        <w:t>或原债权银行</w:t>
      </w:r>
      <w:r>
        <w:rPr>
          <w:rFonts w:cs="Tahoma"/>
          <w:color w:val="auto"/>
          <w:highlight w:val="none"/>
        </w:rPr>
        <w:t>承担相应的责任，或以此作为竞买人履行约定或法定义务的抗辩。</w:t>
      </w:r>
    </w:p>
    <w:p>
      <w:pPr>
        <w:pStyle w:val="6"/>
        <w:spacing w:before="0" w:beforeAutospacing="0" w:after="0" w:afterAutospacing="0"/>
        <w:ind w:firstLine="360"/>
        <w:rPr>
          <w:rFonts w:cs="Tahoma"/>
          <w:color w:val="auto"/>
          <w:highlight w:val="none"/>
        </w:rPr>
      </w:pPr>
      <w:r>
        <w:rPr>
          <w:rFonts w:cs="Tahoma"/>
          <w:color w:val="auto"/>
          <w:highlight w:val="none"/>
        </w:rPr>
        <w:t>3、鉴于</w:t>
      </w:r>
      <w:r>
        <w:rPr>
          <w:rFonts w:hint="eastAsia"/>
          <w:color w:val="auto"/>
          <w:highlight w:val="none"/>
        </w:rPr>
        <w:t>中国长城资产广东分公司</w:t>
      </w:r>
      <w:r>
        <w:rPr>
          <w:rFonts w:cs="Tahoma"/>
          <w:color w:val="auto"/>
          <w:highlight w:val="none"/>
        </w:rPr>
        <w:t>在从相应银行受让竞价标的时，已承诺不向相应银行追究任何法律责任，为此，竞买人同意并保证，竞买人一旦成为买受人，如果竞价标的中存在该等能够追究银行任何法律责任的权利，竞买人承诺放弃并承诺在其与后手签署的协议中要求后手也放弃该等权利，并不以任何方式向</w:t>
      </w:r>
      <w:r>
        <w:rPr>
          <w:rFonts w:hint="eastAsia"/>
          <w:color w:val="auto"/>
          <w:highlight w:val="none"/>
        </w:rPr>
        <w:t>中国长城资产广东分公司</w:t>
      </w:r>
      <w:r>
        <w:rPr>
          <w:rFonts w:hint="eastAsia" w:cs="Tahoma"/>
          <w:color w:val="auto"/>
          <w:highlight w:val="none"/>
        </w:rPr>
        <w:t>及</w:t>
      </w:r>
      <w:r>
        <w:rPr>
          <w:rFonts w:cs="Tahoma"/>
          <w:color w:val="auto"/>
          <w:highlight w:val="none"/>
        </w:rPr>
        <w:t>相应银行追究任何法律责任。</w:t>
      </w:r>
    </w:p>
    <w:p>
      <w:pPr>
        <w:pStyle w:val="6"/>
        <w:spacing w:before="0" w:beforeAutospacing="0" w:after="0" w:afterAutospacing="0"/>
        <w:ind w:firstLine="360"/>
        <w:rPr>
          <w:rFonts w:ascii="Tahoma" w:hAnsi="Tahoma" w:cs="Tahoma"/>
          <w:color w:val="auto"/>
          <w:highlight w:val="none"/>
        </w:rPr>
      </w:pPr>
      <w:r>
        <w:rPr>
          <w:rFonts w:hint="eastAsia" w:cs="Tahoma"/>
          <w:color w:val="auto"/>
          <w:highlight w:val="none"/>
        </w:rPr>
        <w:t>4、</w:t>
      </w:r>
      <w:r>
        <w:rPr>
          <w:rFonts w:hint="eastAsia" w:ascii="Tahoma" w:hAnsi="Tahoma" w:cs="Tahoma"/>
          <w:color w:val="auto"/>
          <w:highlight w:val="none"/>
        </w:rPr>
        <w:t>竞买成交后，买受人将积极配合</w:t>
      </w:r>
      <w:r>
        <w:rPr>
          <w:rFonts w:hint="eastAsia"/>
          <w:color w:val="auto"/>
          <w:highlight w:val="none"/>
        </w:rPr>
        <w:t>中国长城资产广东分公司</w:t>
      </w:r>
      <w:r>
        <w:rPr>
          <w:rFonts w:hint="eastAsia" w:ascii="Tahoma" w:hAnsi="Tahoma" w:cs="Tahoma"/>
          <w:color w:val="auto"/>
          <w:highlight w:val="none"/>
        </w:rPr>
        <w:t>开展反洗钱审查工作，如实提供身份信息及相关证明材料。</w:t>
      </w: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cs="Tahoma"/>
          <w:color w:val="auto"/>
          <w:highlight w:val="none"/>
        </w:rPr>
      </w:pPr>
      <w:r>
        <w:rPr>
          <w:rFonts w:cs="Tahoma"/>
          <w:color w:val="auto"/>
          <w:highlight w:val="none"/>
        </w:rPr>
        <w:t>竞买人在正式竞价活动开始前请务必再仔细阅读</w:t>
      </w:r>
      <w:r>
        <w:rPr>
          <w:rFonts w:hint="eastAsia"/>
          <w:color w:val="auto"/>
          <w:highlight w:val="none"/>
        </w:rPr>
        <w:t>中国长城资产广东分公司</w:t>
      </w:r>
      <w:r>
        <w:rPr>
          <w:rFonts w:cs="Tahoma"/>
          <w:color w:val="auto"/>
          <w:highlight w:val="none"/>
        </w:rPr>
        <w:t>的</w:t>
      </w:r>
      <w:r>
        <w:rPr>
          <w:rFonts w:hint="eastAsia" w:cs="Tahoma"/>
          <w:color w:val="auto"/>
          <w:highlight w:val="none"/>
        </w:rPr>
        <w:t>《</w:t>
      </w:r>
      <w:r>
        <w:rPr>
          <w:rFonts w:cs="Tahoma"/>
          <w:color w:val="auto"/>
          <w:highlight w:val="none"/>
        </w:rPr>
        <w:t>竞买须知</w:t>
      </w:r>
      <w:r>
        <w:rPr>
          <w:rFonts w:hint="eastAsia" w:cs="Tahoma"/>
          <w:color w:val="auto"/>
          <w:highlight w:val="none"/>
        </w:rPr>
        <w:t>》</w:t>
      </w:r>
      <w:r>
        <w:rPr>
          <w:rFonts w:cs="Tahoma"/>
          <w:color w:val="auto"/>
          <w:highlight w:val="none"/>
        </w:rPr>
        <w:t>、</w:t>
      </w:r>
      <w:r>
        <w:rPr>
          <w:rFonts w:hint="eastAsia" w:cs="Tahoma"/>
          <w:color w:val="auto"/>
          <w:highlight w:val="none"/>
        </w:rPr>
        <w:t>《</w:t>
      </w:r>
      <w:r>
        <w:rPr>
          <w:rFonts w:cs="Tahoma"/>
          <w:color w:val="auto"/>
          <w:highlight w:val="none"/>
        </w:rPr>
        <w:t>竞买公告</w:t>
      </w:r>
      <w:r>
        <w:rPr>
          <w:rFonts w:hint="eastAsia" w:cs="Tahoma"/>
          <w:color w:val="auto"/>
          <w:highlight w:val="none"/>
        </w:rPr>
        <w:t>》、</w:t>
      </w:r>
      <w:r>
        <w:rPr>
          <w:rFonts w:hint="eastAsia" w:cs="Tahoma" w:asciiTheme="minorEastAsia" w:hAnsiTheme="minorEastAsia" w:eastAsiaTheme="minorEastAsia"/>
          <w:b/>
          <w:color w:val="auto"/>
          <w:highlight w:val="none"/>
        </w:rPr>
        <w:t>《债权转让协议》</w:t>
      </w:r>
      <w:r>
        <w:rPr>
          <w:rFonts w:cs="Tahoma"/>
          <w:color w:val="auto"/>
          <w:highlight w:val="none"/>
        </w:rPr>
        <w:t>等有关文件。</w:t>
      </w: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cs="Tahoma"/>
          <w:color w:val="auto"/>
          <w:highlight w:val="none"/>
        </w:rPr>
      </w:pPr>
    </w:p>
    <w:p>
      <w:pPr>
        <w:pStyle w:val="6"/>
        <w:spacing w:before="0" w:beforeAutospacing="0" w:after="0" w:afterAutospacing="0"/>
        <w:ind w:firstLine="360"/>
        <w:rPr>
          <w:rFonts w:cs="Tahoma"/>
          <w:b/>
          <w:color w:val="auto"/>
          <w:highlight w:val="none"/>
        </w:rPr>
      </w:pPr>
      <w:r>
        <w:rPr>
          <w:rFonts w:hint="eastAsia" w:cs="Tahoma"/>
          <w:b/>
          <w:color w:val="auto"/>
          <w:highlight w:val="none"/>
        </w:rPr>
        <w:t>附件：《竞买人主体资格证明材料要求》</w:t>
      </w:r>
    </w:p>
    <w:p>
      <w:pPr>
        <w:pStyle w:val="6"/>
        <w:spacing w:before="0" w:beforeAutospacing="0" w:after="0" w:afterAutospacing="0"/>
        <w:ind w:firstLine="360"/>
        <w:rPr>
          <w:rFonts w:ascii="Tahoma" w:hAnsi="Tahoma" w:cs="Tahoma"/>
          <w:color w:val="auto"/>
          <w:highlight w:val="none"/>
        </w:rPr>
      </w:pPr>
    </w:p>
    <w:p>
      <w:pPr>
        <w:jc w:val="center"/>
        <w:rPr>
          <w:rFonts w:ascii="宋体" w:hAnsi="宋体" w:eastAsia="宋体" w:cs="Tahoma"/>
          <w:b/>
          <w:color w:val="auto"/>
          <w:kern w:val="0"/>
          <w:sz w:val="32"/>
          <w:szCs w:val="24"/>
          <w:highlight w:val="none"/>
        </w:rPr>
      </w:pPr>
      <w:r>
        <w:rPr>
          <w:rFonts w:hint="eastAsia" w:ascii="宋体" w:hAnsi="宋体" w:eastAsia="宋体" w:cs="Tahoma"/>
          <w:b/>
          <w:color w:val="auto"/>
          <w:kern w:val="0"/>
          <w:sz w:val="32"/>
          <w:szCs w:val="24"/>
          <w:highlight w:val="none"/>
        </w:rPr>
        <w:t>竞买人主体资格证明材料要求</w:t>
      </w:r>
    </w:p>
    <w:p>
      <w:pPr>
        <w:ind w:firstLine="480" w:firstLineChars="200"/>
        <w:rPr>
          <w:rFonts w:ascii="宋体" w:hAnsi="宋体" w:eastAsia="宋体" w:cs="Tahoma"/>
          <w:color w:val="auto"/>
          <w:kern w:val="0"/>
          <w:sz w:val="24"/>
          <w:szCs w:val="24"/>
          <w:highlight w:val="none"/>
        </w:rPr>
      </w:pPr>
      <w:r>
        <w:rPr>
          <w:rFonts w:hint="eastAsia" w:ascii="宋体" w:hAnsi="宋体" w:eastAsia="宋体" w:cs="Tahoma"/>
          <w:color w:val="auto"/>
          <w:kern w:val="0"/>
          <w:sz w:val="24"/>
          <w:szCs w:val="24"/>
          <w:highlight w:val="none"/>
        </w:rPr>
        <w:t>竞买人为境内企业和其他经济组织的，应当提交有效的营业执照（正本或副本）原件和复印件、</w:t>
      </w:r>
      <w:r>
        <w:rPr>
          <w:rFonts w:hint="eastAsia" w:ascii="宋体" w:hAnsi="宋体" w:eastAsia="宋体" w:cs="Tahoma"/>
          <w:b/>
          <w:color w:val="auto"/>
          <w:kern w:val="0"/>
          <w:sz w:val="24"/>
          <w:szCs w:val="24"/>
          <w:highlight w:val="none"/>
        </w:rPr>
        <w:t>截止至产生最终成交价当日的</w:t>
      </w:r>
      <w:r>
        <w:rPr>
          <w:rFonts w:hint="eastAsia" w:ascii="宋体" w:hAnsi="宋体" w:eastAsia="宋体" w:cs="Tahoma"/>
          <w:color w:val="auto"/>
          <w:kern w:val="0"/>
          <w:sz w:val="24"/>
          <w:szCs w:val="24"/>
          <w:highlight w:val="none"/>
        </w:rPr>
        <w:t>工商查册结果原件、法定代表人或负责人的居民身份证（护照）复印件、法定代表人或负责人的身份证明书，并在留存的复印件上加盖公章供查验。</w:t>
      </w:r>
    </w:p>
    <w:p>
      <w:pPr>
        <w:ind w:firstLine="480" w:firstLineChars="200"/>
        <w:rPr>
          <w:rFonts w:ascii="宋体" w:hAnsi="宋体" w:eastAsia="宋体" w:cs="Tahoma"/>
          <w:color w:val="auto"/>
          <w:kern w:val="0"/>
          <w:sz w:val="24"/>
          <w:szCs w:val="24"/>
          <w:highlight w:val="none"/>
        </w:rPr>
      </w:pPr>
      <w:r>
        <w:rPr>
          <w:rFonts w:hint="eastAsia" w:ascii="宋体" w:hAnsi="宋体" w:eastAsia="宋体" w:cs="Tahoma"/>
          <w:color w:val="auto"/>
          <w:kern w:val="0"/>
          <w:sz w:val="24"/>
          <w:szCs w:val="24"/>
          <w:highlight w:val="none"/>
        </w:rPr>
        <w:t>竞买人为境内企业和其他经济组织的，其法定代表人或负责人委托代理人竞买的，应当提交法定代表人或负责人的居民身份证（护照）复印件、法定代表人或负责人的身份证明书及授权委托书，并在留存的复印件上加盖公章供查验。代理人在代理权限内实施竞买行为，授权委托书中的代理权限应当注明代为报价、签署《债权转让协议》等具体授权事项，因代理人实施竞价行为所产生的全部后果及责任，由委托人承担。代理人应当提交居民身份证（护照）等原件，并在留存的复印件上签字、按手印等供查验。</w:t>
      </w:r>
    </w:p>
    <w:p>
      <w:pPr>
        <w:ind w:firstLine="480" w:firstLineChars="200"/>
        <w:rPr>
          <w:rFonts w:ascii="宋体" w:hAnsi="宋体" w:eastAsia="宋体" w:cs="Tahoma"/>
          <w:color w:val="auto"/>
          <w:kern w:val="0"/>
          <w:sz w:val="24"/>
          <w:szCs w:val="24"/>
          <w:highlight w:val="none"/>
        </w:rPr>
      </w:pPr>
      <w:r>
        <w:rPr>
          <w:rFonts w:hint="eastAsia" w:ascii="宋体" w:hAnsi="宋体" w:eastAsia="宋体" w:cs="Tahoma"/>
          <w:color w:val="auto"/>
          <w:kern w:val="0"/>
          <w:sz w:val="24"/>
          <w:szCs w:val="24"/>
          <w:highlight w:val="none"/>
        </w:rPr>
        <w:t>竞买人为境内自然人的，应当提交居民身份证（护照）等原件，并在留存的复印件上签字、按手印等供查验。</w:t>
      </w:r>
    </w:p>
    <w:p>
      <w:pPr>
        <w:ind w:firstLine="480" w:firstLineChars="200"/>
        <w:rPr>
          <w:color w:val="auto"/>
          <w:sz w:val="24"/>
          <w:szCs w:val="24"/>
          <w:highlight w:val="none"/>
        </w:rPr>
      </w:pPr>
      <w:r>
        <w:rPr>
          <w:rFonts w:hint="eastAsia" w:ascii="宋体" w:hAnsi="宋体" w:cs="Tahoma"/>
          <w:color w:val="auto"/>
          <w:kern w:val="0"/>
          <w:sz w:val="24"/>
          <w:szCs w:val="24"/>
          <w:highlight w:val="none"/>
        </w:rPr>
        <w:t>此外，竞买人还需提交《承诺函》（详见附件）并签章。</w:t>
      </w:r>
    </w:p>
    <w:p>
      <w:pPr>
        <w:ind w:firstLine="480" w:firstLineChars="200"/>
        <w:rPr>
          <w:rFonts w:ascii="宋体" w:hAnsi="宋体" w:eastAsia="宋体" w:cs="Tahoma"/>
          <w:color w:val="auto"/>
          <w:kern w:val="0"/>
          <w:sz w:val="24"/>
          <w:szCs w:val="24"/>
          <w:highlight w:val="none"/>
        </w:rPr>
      </w:pPr>
    </w:p>
    <w:p>
      <w:pPr>
        <w:rPr>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38E71"/>
    <w:multiLevelType w:val="singleLevel"/>
    <w:tmpl w:val="ADC38E71"/>
    <w:lvl w:ilvl="0" w:tentative="0">
      <w:start w:val="4"/>
      <w:numFmt w:val="decimal"/>
      <w:suff w:val="nothing"/>
      <w:lvlText w:val="%1、"/>
      <w:lvlJc w:val="left"/>
    </w:lvl>
  </w:abstractNum>
  <w:abstractNum w:abstractNumId="1">
    <w:nsid w:val="F86B4633"/>
    <w:multiLevelType w:val="singleLevel"/>
    <w:tmpl w:val="F86B4633"/>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476FC210000B94B" w:val=" "/>
    <w:docVar w:name="6478451000001961" w:val=" "/>
    <w:docVar w:name="64793F0B00001753" w:val=" "/>
    <w:docVar w:name="649960E300000BA0" w:val=" "/>
    <w:docVar w:name="649965B10000CFF3" w:val=" "/>
    <w:docVar w:name="649A44CF00007D75" w:val=" "/>
    <w:docVar w:name="649A8E5F00009A3F" w:val=" "/>
    <w:docVar w:name="672C7DD50000738A" w:val=" "/>
    <w:docVar w:name="672D880F0000DB0C" w:val=" "/>
    <w:docVar w:name="675FF6C40000038C" w:val=" "/>
  </w:docVars>
  <w:rsids>
    <w:rsidRoot w:val="007A2DB5"/>
    <w:rsid w:val="000211BE"/>
    <w:rsid w:val="00033086"/>
    <w:rsid w:val="00047176"/>
    <w:rsid w:val="00077117"/>
    <w:rsid w:val="00085E9A"/>
    <w:rsid w:val="000A6641"/>
    <w:rsid w:val="000B70FB"/>
    <w:rsid w:val="000B7D85"/>
    <w:rsid w:val="000C7235"/>
    <w:rsid w:val="000D6312"/>
    <w:rsid w:val="000F5A05"/>
    <w:rsid w:val="00102536"/>
    <w:rsid w:val="00112B00"/>
    <w:rsid w:val="0011499B"/>
    <w:rsid w:val="00124330"/>
    <w:rsid w:val="0013274C"/>
    <w:rsid w:val="00136ADE"/>
    <w:rsid w:val="001A3794"/>
    <w:rsid w:val="0021259D"/>
    <w:rsid w:val="00222C5F"/>
    <w:rsid w:val="0024253E"/>
    <w:rsid w:val="002609D5"/>
    <w:rsid w:val="00290933"/>
    <w:rsid w:val="002917F0"/>
    <w:rsid w:val="00292943"/>
    <w:rsid w:val="002A645C"/>
    <w:rsid w:val="002A6912"/>
    <w:rsid w:val="002B4F0E"/>
    <w:rsid w:val="002C0699"/>
    <w:rsid w:val="002C5405"/>
    <w:rsid w:val="002D7A29"/>
    <w:rsid w:val="002E1928"/>
    <w:rsid w:val="002E1D71"/>
    <w:rsid w:val="002E2709"/>
    <w:rsid w:val="00300099"/>
    <w:rsid w:val="0030160A"/>
    <w:rsid w:val="00311C4A"/>
    <w:rsid w:val="00314283"/>
    <w:rsid w:val="003610CE"/>
    <w:rsid w:val="00375863"/>
    <w:rsid w:val="003765E7"/>
    <w:rsid w:val="00380DAB"/>
    <w:rsid w:val="00385C5E"/>
    <w:rsid w:val="00392274"/>
    <w:rsid w:val="003D3B76"/>
    <w:rsid w:val="003D47B8"/>
    <w:rsid w:val="003F2584"/>
    <w:rsid w:val="003F5043"/>
    <w:rsid w:val="00404E6F"/>
    <w:rsid w:val="00430D1C"/>
    <w:rsid w:val="004438CC"/>
    <w:rsid w:val="0045568E"/>
    <w:rsid w:val="00457440"/>
    <w:rsid w:val="0046394D"/>
    <w:rsid w:val="00470AAB"/>
    <w:rsid w:val="005579C0"/>
    <w:rsid w:val="00566B39"/>
    <w:rsid w:val="00566D5E"/>
    <w:rsid w:val="00575DDF"/>
    <w:rsid w:val="005A3C61"/>
    <w:rsid w:val="005B5F3F"/>
    <w:rsid w:val="005E750D"/>
    <w:rsid w:val="005F4A8E"/>
    <w:rsid w:val="005F707E"/>
    <w:rsid w:val="00605134"/>
    <w:rsid w:val="00606CC8"/>
    <w:rsid w:val="00636CA4"/>
    <w:rsid w:val="00654531"/>
    <w:rsid w:val="00657A46"/>
    <w:rsid w:val="00663642"/>
    <w:rsid w:val="006639FC"/>
    <w:rsid w:val="006645D1"/>
    <w:rsid w:val="006645E7"/>
    <w:rsid w:val="0067091A"/>
    <w:rsid w:val="00674FBD"/>
    <w:rsid w:val="0068007A"/>
    <w:rsid w:val="0068350E"/>
    <w:rsid w:val="006958BC"/>
    <w:rsid w:val="006A1F4D"/>
    <w:rsid w:val="006A583A"/>
    <w:rsid w:val="006C61D2"/>
    <w:rsid w:val="006F314B"/>
    <w:rsid w:val="00710F68"/>
    <w:rsid w:val="00716F10"/>
    <w:rsid w:val="007326DB"/>
    <w:rsid w:val="00740291"/>
    <w:rsid w:val="0076218D"/>
    <w:rsid w:val="007A2DB5"/>
    <w:rsid w:val="007A4ADB"/>
    <w:rsid w:val="007B02A1"/>
    <w:rsid w:val="007E4900"/>
    <w:rsid w:val="007E75C4"/>
    <w:rsid w:val="00852428"/>
    <w:rsid w:val="00857D2D"/>
    <w:rsid w:val="008A4DED"/>
    <w:rsid w:val="008D06EF"/>
    <w:rsid w:val="00930BF0"/>
    <w:rsid w:val="00941A1D"/>
    <w:rsid w:val="00945FB9"/>
    <w:rsid w:val="00950C56"/>
    <w:rsid w:val="0097517E"/>
    <w:rsid w:val="00975D94"/>
    <w:rsid w:val="009C1770"/>
    <w:rsid w:val="009E29A9"/>
    <w:rsid w:val="009F1B64"/>
    <w:rsid w:val="00A157DF"/>
    <w:rsid w:val="00A15E6B"/>
    <w:rsid w:val="00A365D8"/>
    <w:rsid w:val="00A565E9"/>
    <w:rsid w:val="00A658F4"/>
    <w:rsid w:val="00A825CA"/>
    <w:rsid w:val="00AA1CD1"/>
    <w:rsid w:val="00AA6B47"/>
    <w:rsid w:val="00AA7272"/>
    <w:rsid w:val="00AE5730"/>
    <w:rsid w:val="00AF6270"/>
    <w:rsid w:val="00B0336B"/>
    <w:rsid w:val="00B0664E"/>
    <w:rsid w:val="00B323B3"/>
    <w:rsid w:val="00B435B2"/>
    <w:rsid w:val="00B52711"/>
    <w:rsid w:val="00B562CC"/>
    <w:rsid w:val="00B71D6A"/>
    <w:rsid w:val="00BB697D"/>
    <w:rsid w:val="00C21B0E"/>
    <w:rsid w:val="00C24D9C"/>
    <w:rsid w:val="00C2680D"/>
    <w:rsid w:val="00C31931"/>
    <w:rsid w:val="00C724AA"/>
    <w:rsid w:val="00C81DA0"/>
    <w:rsid w:val="00C935CB"/>
    <w:rsid w:val="00C971CC"/>
    <w:rsid w:val="00CB4F87"/>
    <w:rsid w:val="00CB7EEF"/>
    <w:rsid w:val="00CC5263"/>
    <w:rsid w:val="00CF1544"/>
    <w:rsid w:val="00CF44C0"/>
    <w:rsid w:val="00CF6CC3"/>
    <w:rsid w:val="00CF77C8"/>
    <w:rsid w:val="00D01812"/>
    <w:rsid w:val="00D114A0"/>
    <w:rsid w:val="00D34F47"/>
    <w:rsid w:val="00D46834"/>
    <w:rsid w:val="00D47E4A"/>
    <w:rsid w:val="00D60D1C"/>
    <w:rsid w:val="00D66632"/>
    <w:rsid w:val="00D70986"/>
    <w:rsid w:val="00D84575"/>
    <w:rsid w:val="00D8494E"/>
    <w:rsid w:val="00D8623C"/>
    <w:rsid w:val="00D9307A"/>
    <w:rsid w:val="00DA0DE8"/>
    <w:rsid w:val="00DB30EE"/>
    <w:rsid w:val="00DB42E3"/>
    <w:rsid w:val="00DB5098"/>
    <w:rsid w:val="00DB6038"/>
    <w:rsid w:val="00DB6D24"/>
    <w:rsid w:val="00DB7456"/>
    <w:rsid w:val="00DE0824"/>
    <w:rsid w:val="00DF3B26"/>
    <w:rsid w:val="00E1050F"/>
    <w:rsid w:val="00E10DD8"/>
    <w:rsid w:val="00E124EB"/>
    <w:rsid w:val="00E259BE"/>
    <w:rsid w:val="00E265E4"/>
    <w:rsid w:val="00E46EEB"/>
    <w:rsid w:val="00E66F90"/>
    <w:rsid w:val="00E73F72"/>
    <w:rsid w:val="00E937A5"/>
    <w:rsid w:val="00E97A18"/>
    <w:rsid w:val="00EA13FE"/>
    <w:rsid w:val="00EA18B4"/>
    <w:rsid w:val="00EC135C"/>
    <w:rsid w:val="00EC768F"/>
    <w:rsid w:val="00ED2DA4"/>
    <w:rsid w:val="00ED5093"/>
    <w:rsid w:val="00EF25A0"/>
    <w:rsid w:val="00EF4C72"/>
    <w:rsid w:val="00EF5011"/>
    <w:rsid w:val="00F04772"/>
    <w:rsid w:val="00F3155E"/>
    <w:rsid w:val="00F3377E"/>
    <w:rsid w:val="00F46A13"/>
    <w:rsid w:val="00F55CB0"/>
    <w:rsid w:val="00F57C92"/>
    <w:rsid w:val="00F654F3"/>
    <w:rsid w:val="00F711F2"/>
    <w:rsid w:val="00F74E3B"/>
    <w:rsid w:val="00F9003E"/>
    <w:rsid w:val="00FC30A6"/>
    <w:rsid w:val="00FC558C"/>
    <w:rsid w:val="00FD78E7"/>
    <w:rsid w:val="00FF5EC0"/>
    <w:rsid w:val="01B227E5"/>
    <w:rsid w:val="03472450"/>
    <w:rsid w:val="03C52209"/>
    <w:rsid w:val="0DB83906"/>
    <w:rsid w:val="114A489A"/>
    <w:rsid w:val="14746F39"/>
    <w:rsid w:val="17E0210B"/>
    <w:rsid w:val="19675B23"/>
    <w:rsid w:val="1D637B01"/>
    <w:rsid w:val="1DB65C37"/>
    <w:rsid w:val="1E963686"/>
    <w:rsid w:val="21176AD0"/>
    <w:rsid w:val="229D62B6"/>
    <w:rsid w:val="26BA257A"/>
    <w:rsid w:val="2EF061E2"/>
    <w:rsid w:val="36F74F58"/>
    <w:rsid w:val="38A31C71"/>
    <w:rsid w:val="38CA618C"/>
    <w:rsid w:val="3AB07F1F"/>
    <w:rsid w:val="3AB32503"/>
    <w:rsid w:val="3CF93D88"/>
    <w:rsid w:val="40A44D95"/>
    <w:rsid w:val="429F790F"/>
    <w:rsid w:val="52347B6B"/>
    <w:rsid w:val="538F568A"/>
    <w:rsid w:val="53A917A0"/>
    <w:rsid w:val="56567574"/>
    <w:rsid w:val="56E30C5B"/>
    <w:rsid w:val="5A73744B"/>
    <w:rsid w:val="5B961D2A"/>
    <w:rsid w:val="63724998"/>
    <w:rsid w:val="64CE2466"/>
    <w:rsid w:val="66D80ACB"/>
    <w:rsid w:val="689100B5"/>
    <w:rsid w:val="749630AF"/>
    <w:rsid w:val="790C1B2D"/>
    <w:rsid w:val="79F548B2"/>
    <w:rsid w:val="7B2A7EA3"/>
    <w:rsid w:val="7C0E5D36"/>
    <w:rsid w:val="7D84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7528-5950-4259-A3FF-34B00FFB94B0}">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6</Pages>
  <Words>784</Words>
  <Characters>4475</Characters>
  <Lines>37</Lines>
  <Paragraphs>10</Paragraphs>
  <TotalTime>8</TotalTime>
  <ScaleCrop>false</ScaleCrop>
  <LinksUpToDate>false</LinksUpToDate>
  <CharactersWithSpaces>5249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2024-12-16T10:01:00Z</dcterms:created>
  <dc:creator>黄维杰</dc:creator>
  <cp:lastModifiedBy>abc</cp:lastModifiedBy>
  <dcterms:modified xsi:type="dcterms:W3CDTF">2025-06-15T06:08:12Z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969B0E5F474F4DD19AEAC683E613395F</vt:lpwstr>
  </property>
</Properties>
</file>