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240" w:afterAutospacing="0" w:line="240" w:lineRule="atLeast"/>
        <w:jc w:val="center"/>
        <w:rPr>
          <w:rFonts w:ascii="华文中宋" w:hAnsi="华文中宋" w:eastAsia="华文中宋"/>
          <w:bCs/>
          <w:color w:val="auto"/>
          <w:sz w:val="44"/>
          <w:szCs w:val="44"/>
          <w:highlight w:val="none"/>
        </w:rPr>
      </w:pPr>
      <w:r>
        <w:rPr>
          <w:rFonts w:hint="eastAsia" w:ascii="华文中宋" w:hAnsi="华文中宋" w:eastAsia="华文中宋"/>
          <w:bCs/>
          <w:color w:val="auto"/>
          <w:sz w:val="44"/>
          <w:szCs w:val="44"/>
          <w:highlight w:val="none"/>
        </w:rPr>
        <w:t>竞买公告</w:t>
      </w:r>
    </w:p>
    <w:p>
      <w:pPr>
        <w:pStyle w:val="6"/>
        <w:spacing w:before="0" w:beforeAutospacing="0" w:after="240" w:afterAutospacing="0" w:line="240" w:lineRule="atLeast"/>
        <w:ind w:firstLine="64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中国长城资产管理股份有限公司</w:t>
      </w:r>
      <w:r>
        <w:rPr>
          <w:rFonts w:hint="eastAsia" w:cs="Tahoma" w:asciiTheme="minorEastAsia" w:hAnsiTheme="minorEastAsia" w:eastAsiaTheme="minorEastAsia"/>
          <w:bCs/>
          <w:color w:val="auto"/>
          <w:highlight w:val="none"/>
          <w:u w:val="single"/>
        </w:rPr>
        <w:t>广东省</w:t>
      </w:r>
      <w:r>
        <w:rPr>
          <w:rFonts w:hint="eastAsia" w:cs="Tahoma" w:asciiTheme="minorEastAsia" w:hAnsiTheme="minorEastAsia" w:eastAsiaTheme="minorEastAsia"/>
          <w:bCs/>
          <w:color w:val="auto"/>
          <w:highlight w:val="none"/>
        </w:rPr>
        <w:t>分公司</w:t>
      </w:r>
      <w:r>
        <w:rPr>
          <w:rFonts w:hint="eastAsia"/>
          <w:bCs/>
          <w:color w:val="auto"/>
          <w:highlight w:val="none"/>
        </w:rPr>
        <w:t>（以下简称“中国长城资产广</w:t>
      </w:r>
      <w:r>
        <w:rPr>
          <w:rFonts w:hint="eastAsia" w:cs="Tahoma" w:asciiTheme="minorEastAsia" w:hAnsiTheme="minorEastAsia" w:eastAsiaTheme="minorEastAsia"/>
          <w:bCs/>
          <w:color w:val="auto"/>
          <w:highlight w:val="none"/>
        </w:rPr>
        <w:t>东分公司”）将于2025年6月</w:t>
      </w:r>
      <w:r>
        <w:rPr>
          <w:rFonts w:hint="eastAsia" w:cs="Tahoma" w:asciiTheme="minorEastAsia" w:hAnsiTheme="minorEastAsia" w:eastAsiaTheme="minorEastAsia"/>
          <w:bCs/>
          <w:color w:val="auto"/>
          <w:highlight w:val="none"/>
          <w:lang w:eastAsia="zh-CN"/>
        </w:rPr>
        <w:t>1</w:t>
      </w:r>
      <w:r>
        <w:rPr>
          <w:rFonts w:hint="eastAsia" w:cs="Tahoma" w:asciiTheme="minorEastAsia" w:hAnsiTheme="minorEastAsia" w:eastAsiaTheme="minorEastAsia"/>
          <w:bCs/>
          <w:color w:val="auto"/>
          <w:highlight w:val="none"/>
          <w:lang w:val="en-US" w:eastAsia="zh-CN"/>
        </w:rPr>
        <w:t>9</w:t>
      </w:r>
      <w:r>
        <w:rPr>
          <w:rFonts w:hint="eastAsia" w:cs="Tahoma" w:asciiTheme="minorEastAsia" w:hAnsiTheme="minorEastAsia" w:eastAsiaTheme="minorEastAsia"/>
          <w:bCs/>
          <w:color w:val="auto"/>
          <w:highlight w:val="none"/>
        </w:rPr>
        <w:t>日09时起至2025年6月</w:t>
      </w:r>
      <w:r>
        <w:rPr>
          <w:rFonts w:hint="eastAsia" w:cs="Tahoma" w:asciiTheme="minorEastAsia" w:hAnsiTheme="minorEastAsia" w:eastAsiaTheme="minorEastAsia"/>
          <w:bCs/>
          <w:color w:val="auto"/>
          <w:highlight w:val="none"/>
          <w:lang w:val="en-US" w:eastAsia="zh-CN"/>
        </w:rPr>
        <w:t>19</w:t>
      </w:r>
      <w:r>
        <w:rPr>
          <w:rFonts w:hint="eastAsia" w:cs="Tahoma" w:asciiTheme="minorEastAsia" w:hAnsiTheme="minorEastAsia" w:eastAsiaTheme="minorEastAsia"/>
          <w:bCs/>
          <w:color w:val="auto"/>
          <w:highlight w:val="none"/>
        </w:rPr>
        <w:t>日17时止（如发生自动延时的，截止时间以延长后的结束时间为准）在京东资产交易平台（</w:t>
      </w:r>
      <w:r>
        <w:rPr>
          <w:rFonts w:cs="Tahoma" w:asciiTheme="minorEastAsia" w:hAnsiTheme="minorEastAsia" w:eastAsiaTheme="minorEastAsia"/>
          <w:bCs/>
          <w:color w:val="auto"/>
          <w:highlight w:val="none"/>
        </w:rPr>
        <w:fldChar w:fldCharType="begin"/>
      </w:r>
      <w:r>
        <w:rPr>
          <w:rFonts w:cs="Tahoma" w:asciiTheme="minorEastAsia" w:hAnsiTheme="minorEastAsia" w:eastAsiaTheme="minorEastAsia"/>
          <w:bCs/>
          <w:color w:val="auto"/>
          <w:highlight w:val="none"/>
        </w:rPr>
        <w:instrText xml:space="preserve"> HYPERLINK "</w:instrText>
      </w:r>
      <w:r>
        <w:rPr>
          <w:rFonts w:hint="eastAsia" w:cs="Tahoma" w:asciiTheme="minorEastAsia" w:hAnsiTheme="minorEastAsia" w:eastAsiaTheme="minorEastAsia"/>
          <w:bCs/>
          <w:color w:val="auto"/>
          <w:highlight w:val="none"/>
        </w:rPr>
        <w:instrText xml:space="preserve">https://zcpm.jd.com）对侨鑫集团有限公司1</w:instrText>
      </w:r>
      <w:r>
        <w:rPr>
          <w:rFonts w:cs="Tahoma" w:asciiTheme="minorEastAsia" w:hAnsiTheme="minorEastAsia" w:eastAsiaTheme="minorEastAsia"/>
          <w:bCs/>
          <w:color w:val="auto"/>
          <w:highlight w:val="none"/>
        </w:rPr>
        <w:instrText xml:space="preserve">" </w:instrText>
      </w:r>
      <w:r>
        <w:rPr>
          <w:rFonts w:cs="Tahoma" w:asciiTheme="minorEastAsia" w:hAnsiTheme="minorEastAsia" w:eastAsiaTheme="minorEastAsia"/>
          <w:bCs/>
          <w:color w:val="auto"/>
          <w:highlight w:val="none"/>
        </w:rPr>
        <w:fldChar w:fldCharType="separate"/>
      </w:r>
      <w:r>
        <w:rPr>
          <w:rStyle w:val="10"/>
          <w:rFonts w:hint="eastAsia" w:cs="Tahoma" w:asciiTheme="minorEastAsia" w:hAnsiTheme="minorEastAsia" w:eastAsiaTheme="minorEastAsia"/>
          <w:bCs/>
          <w:color w:val="auto"/>
          <w:highlight w:val="none"/>
        </w:rPr>
        <w:t>https://zcpm.jd.com）对侨鑫集团有限公司1</w:t>
      </w:r>
      <w:r>
        <w:rPr>
          <w:rFonts w:cs="Tahoma" w:asciiTheme="minorEastAsia" w:hAnsiTheme="minorEastAsia" w:eastAsiaTheme="minorEastAsia"/>
          <w:bCs/>
          <w:color w:val="auto"/>
          <w:highlight w:val="none"/>
        </w:rPr>
        <w:fldChar w:fldCharType="end"/>
      </w:r>
      <w:r>
        <w:rPr>
          <w:rFonts w:hint="eastAsia" w:cs="Tahoma" w:asciiTheme="minorEastAsia" w:hAnsiTheme="minorEastAsia" w:eastAsiaTheme="minorEastAsia"/>
          <w:bCs/>
          <w:color w:val="auto"/>
          <w:highlight w:val="none"/>
        </w:rPr>
        <w:t>户</w:t>
      </w:r>
      <w:r>
        <w:rPr>
          <w:rFonts w:hint="eastAsia" w:cs="Tahoma" w:asciiTheme="minorEastAsia" w:hAnsiTheme="minorEastAsia" w:eastAsiaTheme="minorEastAsia"/>
          <w:bCs/>
          <w:color w:val="auto"/>
          <w:highlight w:val="none"/>
          <w:u w:val="single"/>
        </w:rPr>
        <w:t>债权资产项目</w:t>
      </w:r>
      <w:r>
        <w:rPr>
          <w:rFonts w:hint="eastAsia" w:cs="Tahoma" w:asciiTheme="minorEastAsia" w:hAnsiTheme="minorEastAsia" w:eastAsiaTheme="minorEastAsia"/>
          <w:bCs/>
          <w:color w:val="auto"/>
          <w:highlight w:val="none"/>
        </w:rPr>
        <w:t>进行公开挂牌竞价，现就有关事项公告如下：</w:t>
      </w:r>
    </w:p>
    <w:p>
      <w:pPr>
        <w:pStyle w:val="6"/>
        <w:spacing w:beforeAutospacing="0" w:after="240" w:afterAutospacing="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一、竞价标的：中国长城资产管理股份有限公司广东省分公司对侨鑫集团有限公司债权资产（本次竞价标的信息请见发布的相关内容）。</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二、重大事项披露：上述竞价标的</w:t>
      </w:r>
      <w:r>
        <w:rPr>
          <w:rFonts w:hint="eastAsia" w:ascii="仿宋" w:hAnsi="仿宋" w:cs="仿宋"/>
          <w:bCs/>
          <w:color w:val="auto"/>
          <w:highlight w:val="none"/>
        </w:rPr>
        <w:t>存在或可能存在下列瑕疵或风险</w:t>
      </w:r>
      <w:bookmarkStart w:id="0" w:name="_Hlk113343866"/>
      <w:r>
        <w:rPr>
          <w:rFonts w:hint="eastAsia" w:ascii="仿宋" w:hAnsi="仿宋" w:cs="仿宋"/>
          <w:bCs/>
          <w:color w:val="auto"/>
          <w:highlight w:val="none"/>
        </w:rPr>
        <w:t>或尚未发现的瑕疵</w:t>
      </w:r>
      <w:bookmarkEnd w:id="0"/>
      <w:r>
        <w:rPr>
          <w:rFonts w:hint="eastAsia" w:cs="Tahoma" w:asciiTheme="minorEastAsia" w:hAnsiTheme="minorEastAsia" w:eastAsiaTheme="minorEastAsia"/>
          <w:bCs/>
          <w:color w:val="auto"/>
          <w:highlight w:val="none"/>
        </w:rPr>
        <w:t>，包括但不限于下列一项或多项：</w:t>
      </w:r>
      <w:r>
        <w:rPr>
          <w:rFonts w:cs="Tahoma" w:asciiTheme="minorEastAsia" w:hAnsiTheme="minorEastAsia" w:eastAsiaTheme="minorEastAsia"/>
          <w:bCs/>
          <w:color w:val="auto"/>
          <w:highlight w:val="none"/>
        </w:rPr>
        <w:t> </w:t>
      </w:r>
    </w:p>
    <w:p>
      <w:pPr>
        <w:pStyle w:val="6"/>
        <w:spacing w:beforeAutospacing="0" w:after="240" w:afterAutospacing="0" w:line="240" w:lineRule="atLeast"/>
        <w:ind w:left="142" w:firstLine="48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1</w:t>
      </w:r>
      <w:r>
        <w:rPr>
          <w:rFonts w:hint="eastAsia" w:cs="Tahoma" w:asciiTheme="minorEastAsia" w:hAnsiTheme="minorEastAsia" w:eastAsiaTheme="minorEastAsia"/>
          <w:bCs/>
          <w:color w:val="auto"/>
          <w:highlight w:val="none"/>
        </w:rPr>
        <w:t>、竞买人在受让竞价标的后，对按原借款合同在基准日以后产生的利息、罚息、复利的请求权，由于法律政策导向的不确定性，可能无法继续享有。</w:t>
      </w:r>
    </w:p>
    <w:p>
      <w:pPr>
        <w:pStyle w:val="6"/>
        <w:spacing w:beforeAutospacing="0" w:after="240" w:afterAutospacing="0" w:line="240" w:lineRule="atLeast"/>
        <w:ind w:left="142" w:firstLine="48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2</w:t>
      </w:r>
      <w:r>
        <w:rPr>
          <w:rFonts w:hint="eastAsia" w:cs="Tahoma" w:asciiTheme="minorEastAsia" w:hAnsiTheme="minorEastAsia" w:eastAsiaTheme="minorEastAsia"/>
          <w:bCs/>
          <w:color w:val="auto"/>
          <w:highlight w:val="none"/>
        </w:rPr>
        <w:t>、竞买人在受让竞价标的后，可能无法享有</w:t>
      </w:r>
      <w:r>
        <w:rPr>
          <w:rFonts w:hint="eastAsia"/>
          <w:bCs/>
          <w:color w:val="auto"/>
          <w:highlight w:val="none"/>
        </w:rPr>
        <w:t>中国长城资产广东分公司</w:t>
      </w:r>
      <w:r>
        <w:rPr>
          <w:rFonts w:hint="eastAsia" w:cs="Tahoma" w:asciiTheme="minorEastAsia" w:hAnsiTheme="minorEastAsia" w:eastAsiaTheme="minorEastAsia"/>
          <w:bCs/>
          <w:color w:val="auto"/>
          <w:highlight w:val="none"/>
        </w:rPr>
        <w:t>所享有的国家法律政策规定的各项优惠条件和特殊保护，包括但不限于税收和诉讼方面的优惠和特殊保护。</w:t>
      </w:r>
    </w:p>
    <w:p>
      <w:pPr>
        <w:pStyle w:val="6"/>
        <w:spacing w:beforeAutospacing="0" w:after="240" w:afterAutospacing="0" w:line="240" w:lineRule="atLeast"/>
        <w:ind w:left="142" w:firstLine="48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3</w:t>
      </w:r>
      <w:r>
        <w:rPr>
          <w:rFonts w:hint="eastAsia" w:cs="Tahoma" w:asciiTheme="minorEastAsia" w:hAnsiTheme="minorEastAsia" w:eastAsiaTheme="minorEastAsia"/>
          <w:bCs/>
          <w:color w:val="auto"/>
          <w:highlight w:val="none"/>
        </w:rPr>
        <w:t>、因</w:t>
      </w:r>
      <w:r>
        <w:rPr>
          <w:rFonts w:hint="eastAsia"/>
          <w:bCs/>
          <w:color w:val="auto"/>
          <w:highlight w:val="none"/>
        </w:rPr>
        <w:t>中国长城资产广东分公司</w:t>
      </w:r>
      <w:r>
        <w:rPr>
          <w:rFonts w:hint="eastAsia" w:cs="Tahoma" w:asciiTheme="minorEastAsia" w:hAnsiTheme="minorEastAsia" w:eastAsiaTheme="minorEastAsia"/>
          <w:bCs/>
          <w:color w:val="auto"/>
          <w:highlight w:val="none"/>
        </w:rPr>
        <w:t>并非竞价标的的原始权利人，</w:t>
      </w:r>
      <w:r>
        <w:rPr>
          <w:rFonts w:hint="eastAsia"/>
          <w:bCs/>
          <w:color w:val="auto"/>
          <w:highlight w:val="none"/>
        </w:rPr>
        <w:t>中国长城资产广东分公司</w:t>
      </w:r>
      <w:r>
        <w:rPr>
          <w:rFonts w:hint="eastAsia" w:cs="Tahoma" w:asciiTheme="minorEastAsia" w:hAnsiTheme="minorEastAsia" w:eastAsiaTheme="minorEastAsia"/>
          <w:bCs/>
          <w:color w:val="auto"/>
          <w:highlight w:val="none"/>
        </w:rPr>
        <w:t>无法对其承继的、由任何第三方制作的竞价标的证明文件的真实性、有效性、准确性和完整性提供保证，以至于竞买人受让竞价标的的预期利益可能无法实现。竞买人所受让的竞价标的项下标的债权可能存在包括但不限于下列一项或多项的瑕疵或缺陷：</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（1）标的债权系</w:t>
      </w:r>
      <w:r>
        <w:rPr>
          <w:rFonts w:hint="eastAsia" w:cs="Tahoma" w:asciiTheme="minorEastAsia" w:hAnsiTheme="minorEastAsia" w:eastAsiaTheme="minorEastAsia"/>
          <w:bCs/>
          <w:color w:val="auto"/>
          <w:highlight w:val="none"/>
          <w:lang w:val="en-US" w:eastAsia="zh-CN"/>
        </w:rPr>
        <w:t>已逾期</w:t>
      </w:r>
      <w:r>
        <w:rPr>
          <w:rFonts w:hint="eastAsia" w:cs="Tahoma" w:asciiTheme="minorEastAsia" w:hAnsiTheme="minorEastAsia" w:eastAsiaTheme="minorEastAsia"/>
          <w:bCs/>
          <w:color w:val="auto"/>
          <w:highlight w:val="none"/>
        </w:rPr>
        <w:t>，存在着部分或全部不能回收的风险特性以及清收的困难性；</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2）由于存在的计算误差或其他原因，竞买人实际接收的标的债权金额与本公告载明的金额不完全一致；基于有关司法政策文件，竞买人受让标的债权后向债务人或担保人所能主张并获得司法支持的利息与本公告所列明的利息不完全一致；</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（3）标的债权项下借款人、担保人或其他与标的债权相关的责任主体存在破产、被解散/注销/撤销/关闭/吊销、歇业、停业、下落不明以及其他主体存续性瑕疵的情形；</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4）标的债权及担保权利已超过诉讼时效、法定或约定时效或丧失其他相关的期间利益或因其他原因已部分或全部丧失或不能被强制执行的情形，包括但不限于债权转让暨催收公告或通知中有关债权催收的内容不能起到中断诉讼时效的作用；</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（5）标的债权以及项下担保权利未生效、无效、消灭、被撤销或已过诉讼时效、担保期间等情形；</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（6）标的债权证明文件存在不完整、不真实、原件缺失、内容冲突等相关情形；</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7）担保物、抵债资产（协议抵债且未办理过户）发生灭失、毁损、已被司法处置、对外租赁（且租期不详）、设定居住权、或存在欠缴税费或土地出让金、无相关权属证明、不能办理权属变更手续、不能实际占有、丧失使用价值或其他减损担保物、抵债资产价值的相关情形；</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（8）担保合同存在约定主债权未经担保人同意不可转让或担保人只对特定债权人承担担保责任的情形；</w:t>
      </w:r>
    </w:p>
    <w:p>
      <w:pPr>
        <w:pStyle w:val="6"/>
        <w:spacing w:after="24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9）涉诉标的债权存在全部或部分败诉、不能变更诉讼（含执行、仲裁）主体、相关诉讼、仲裁、执行费用未付、被执行财产的保全期限已经过期等情形，涉诉标的债权在交割前已诉讼终结、仲裁终结、执行终结或破产终结；</w:t>
      </w:r>
    </w:p>
    <w:p>
      <w:pPr>
        <w:pStyle w:val="6"/>
        <w:spacing w:beforeAutospacing="0" w:after="240" w:afterAutospacing="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（10）标的债权事实上已经全部或部分灭失。</w:t>
      </w:r>
    </w:p>
    <w:p>
      <w:pPr>
        <w:pStyle w:val="6"/>
        <w:spacing w:after="240" w:line="240" w:lineRule="atLeast"/>
        <w:ind w:left="142" w:firstLine="480"/>
        <w:rPr>
          <w:rFonts w:cs="Tahoma" w:asciiTheme="minorEastAsia" w:hAnsiTheme="minorEastAsia"/>
          <w:bCs/>
          <w:color w:val="auto"/>
          <w:highlight w:val="none"/>
        </w:rPr>
      </w:pPr>
      <w:r>
        <w:rPr>
          <w:rFonts w:hint="eastAsia" w:cs="Tahoma" w:asciiTheme="minorEastAsia" w:hAnsiTheme="minorEastAsia"/>
          <w:bCs/>
          <w:color w:val="auto"/>
          <w:highlight w:val="none"/>
        </w:rPr>
        <w:t>4、竞买人受让标的债权后，由于相关法律法规规章政策限制，导致竞买人能够行使的标的债权数额可能小于本公告中列明的标的债权数额。相关法律法规规章政策包括但不限于：</w:t>
      </w:r>
    </w:p>
    <w:p>
      <w:pPr>
        <w:pStyle w:val="6"/>
        <w:spacing w:after="240" w:line="240" w:lineRule="atLeast"/>
        <w:ind w:left="142" w:firstLine="480"/>
        <w:rPr>
          <w:rFonts w:cs="Tahoma" w:asciiTheme="minorEastAsia" w:hAnsiTheme="minorEastAsia"/>
          <w:bCs/>
          <w:color w:val="auto"/>
          <w:highlight w:val="none"/>
        </w:rPr>
      </w:pPr>
      <w:r>
        <w:rPr>
          <w:rFonts w:hint="eastAsia" w:cs="Tahoma" w:asciiTheme="minorEastAsia" w:hAnsiTheme="minorEastAsia"/>
          <w:bCs/>
          <w:color w:val="auto"/>
          <w:highlight w:val="none"/>
        </w:rPr>
        <w:t>A.《中华人民共和国民法典》第五百四十七条债权人转让债权的，受让人取得与债权有关的从权利，但是该从权利专属于债权人自身的除外；</w:t>
      </w:r>
    </w:p>
    <w:p>
      <w:pPr>
        <w:pStyle w:val="6"/>
        <w:spacing w:beforeAutospacing="0" w:after="240" w:afterAutospacing="0" w:line="240" w:lineRule="atLeast"/>
        <w:ind w:left="142" w:firstLine="480"/>
        <w:rPr>
          <w:rFonts w:cs="Tahoma" w:asciiTheme="minorEastAsia" w:hAnsiTheme="minorEastAsia"/>
          <w:bCs/>
          <w:color w:val="auto"/>
          <w:highlight w:val="none"/>
        </w:rPr>
      </w:pPr>
      <w:r>
        <w:rPr>
          <w:rFonts w:hint="eastAsia" w:cs="Tahoma" w:asciiTheme="minorEastAsia" w:hAnsiTheme="minorEastAsia"/>
          <w:bCs/>
          <w:color w:val="auto"/>
          <w:highlight w:val="none"/>
          <w:lang w:val="en-US" w:eastAsia="zh-CN"/>
        </w:rPr>
        <w:t>B</w:t>
      </w:r>
      <w:r>
        <w:rPr>
          <w:rFonts w:hint="eastAsia" w:cs="Tahoma" w:asciiTheme="minorEastAsia" w:hAnsiTheme="minorEastAsia"/>
          <w:bCs/>
          <w:color w:val="auto"/>
          <w:highlight w:val="none"/>
        </w:rPr>
        <w:t>.《关于印发〈人民币利率管理规定〉的通知》（银发[1999]77号）相关规定。</w:t>
      </w:r>
    </w:p>
    <w:p>
      <w:pPr>
        <w:pStyle w:val="6"/>
        <w:spacing w:beforeAutospacing="0" w:after="240" w:afterAutospacing="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bCs/>
          <w:color w:val="auto"/>
          <w:highlight w:val="none"/>
        </w:rPr>
        <w:t>5、该竞价标的上可能存在其他方面的各种瑕疵及风险。</w:t>
      </w:r>
    </w:p>
    <w:p>
      <w:pPr>
        <w:pStyle w:val="6"/>
        <w:spacing w:beforeAutospacing="0" w:after="240" w:afterAutospacing="0" w:line="240" w:lineRule="atLeast"/>
        <w:ind w:left="142" w:firstLine="48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6、竞价标的可能存在物权资产（或股权资产），而且该物权资产（或股权资产）可能存在权属瑕疵或其他瑕疵，</w:t>
      </w:r>
      <w:r>
        <w:rPr>
          <w:rFonts w:hint="eastAsia"/>
          <w:bCs/>
          <w:color w:val="auto"/>
          <w:highlight w:val="none"/>
        </w:rPr>
        <w:t>中国长城资产广东分公司</w:t>
      </w:r>
      <w:r>
        <w:rPr>
          <w:rFonts w:hint="eastAsia" w:cs="Tahoma" w:asciiTheme="minorEastAsia" w:hAnsiTheme="minorEastAsia" w:eastAsiaTheme="minorEastAsia"/>
          <w:bCs/>
          <w:color w:val="auto"/>
          <w:highlight w:val="none"/>
        </w:rPr>
        <w:t>仅以该资产证明文件的现状来出售，受让该物权资产（或股权资产）的风险和从资产证明文件所展示的现状过户至买受人名下需产生的各环节的税、费等均由竞买人自行承担。</w:t>
      </w:r>
    </w:p>
    <w:p>
      <w:pPr>
        <w:pStyle w:val="6"/>
        <w:spacing w:before="0" w:beforeAutospacing="0" w:after="240" w:afterAutospacing="0" w:line="240" w:lineRule="atLeast"/>
        <w:ind w:left="142" w:firstLine="482"/>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三、挂牌价格</w:t>
      </w:r>
    </w:p>
    <w:p>
      <w:pPr>
        <w:pStyle w:val="6"/>
        <w:spacing w:before="0" w:beforeAutospacing="0" w:after="240" w:afterAutospacing="0" w:line="240" w:lineRule="atLeast"/>
        <w:ind w:left="142" w:firstLine="360"/>
        <w:rPr>
          <w:rFonts w:cs="Tahoma" w:asciiTheme="minorEastAsia" w:hAnsiTheme="minorEastAsia" w:eastAsiaTheme="minorEastAsia"/>
          <w:bCs/>
          <w:color w:val="auto"/>
          <w:highlight w:val="none"/>
        </w:rPr>
      </w:pPr>
      <w:r>
        <w:rPr>
          <w:rFonts w:hint="eastAsia" w:cs="Tahoma" w:asciiTheme="minorEastAsia" w:hAnsiTheme="minorEastAsia"/>
          <w:bCs/>
          <w:color w:val="auto"/>
          <w:highlight w:val="none"/>
        </w:rPr>
        <w:t>竞买</w:t>
      </w:r>
      <w:r>
        <w:rPr>
          <w:rFonts w:hint="eastAsia" w:cs="Tahoma" w:asciiTheme="minorEastAsia" w:hAnsiTheme="minorEastAsia" w:eastAsiaTheme="minorEastAsia"/>
          <w:bCs/>
          <w:color w:val="auto"/>
          <w:highlight w:val="none"/>
        </w:rPr>
        <w:t>起拍价：31,962.70万元，竞价保证金：3,190万元，加价幅度：10万元或其整数倍。</w:t>
      </w:r>
    </w:p>
    <w:p>
      <w:pPr>
        <w:pStyle w:val="6"/>
        <w:spacing w:before="0" w:beforeAutospacing="0" w:after="240" w:afterAutospacing="0" w:line="240" w:lineRule="atLeast"/>
        <w:ind w:left="142" w:firstLine="36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四、交易对象：</w:t>
      </w:r>
      <w:r>
        <w:rPr>
          <w:rFonts w:hint="eastAsia" w:cs="Tahoma" w:asciiTheme="minorEastAsia" w:hAnsiTheme="minorEastAsia" w:eastAsiaTheme="minorEastAsia"/>
          <w:bCs/>
          <w:color w:val="auto"/>
          <w:highlight w:val="none"/>
          <w:u w:val="single"/>
        </w:rPr>
        <w:t>见《竞买须知》</w:t>
      </w:r>
      <w:r>
        <w:rPr>
          <w:rFonts w:hint="eastAsia" w:cs="Tahoma" w:asciiTheme="minorEastAsia" w:hAnsiTheme="minorEastAsia" w:eastAsiaTheme="minorEastAsia"/>
          <w:bCs/>
          <w:color w:val="auto"/>
          <w:highlight w:val="none"/>
        </w:rPr>
        <w:t>。</w:t>
      </w:r>
    </w:p>
    <w:p>
      <w:pPr>
        <w:pStyle w:val="6"/>
        <w:spacing w:before="0" w:beforeAutospacing="0" w:after="240" w:afterAutospacing="0" w:line="240" w:lineRule="atLeast"/>
        <w:ind w:left="142" w:firstLine="36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五、竞价保证金</w:t>
      </w:r>
    </w:p>
    <w:p>
      <w:pPr>
        <w:pStyle w:val="6"/>
        <w:spacing w:before="0" w:beforeAutospacing="0" w:after="240" w:afterAutospacing="0" w:line="240" w:lineRule="atLeast"/>
        <w:ind w:left="142" w:firstLine="360"/>
        <w:rPr>
          <w:rFonts w:cs="Tahoma" w:asciiTheme="minorEastAsia" w:hAnsiTheme="minorEastAsia"/>
          <w:bCs/>
          <w:color w:val="auto"/>
          <w:highlight w:val="none"/>
        </w:rPr>
      </w:pPr>
      <w:r>
        <w:rPr>
          <w:rFonts w:hint="eastAsia" w:cs="Tahoma" w:asciiTheme="minorEastAsia" w:hAnsiTheme="minorEastAsia" w:eastAsiaTheme="minorEastAsia"/>
          <w:bCs/>
          <w:color w:val="auto"/>
          <w:highlight w:val="none"/>
        </w:rPr>
        <w:t>1、</w:t>
      </w:r>
      <w:r>
        <w:rPr>
          <w:rFonts w:hint="eastAsia" w:cs="Tahoma" w:asciiTheme="minorEastAsia" w:hAnsiTheme="minorEastAsia"/>
          <w:bCs/>
          <w:color w:val="auto"/>
          <w:highlight w:val="none"/>
        </w:rPr>
        <w:t>竞买人按照</w:t>
      </w:r>
      <w:r>
        <w:rPr>
          <w:rFonts w:hint="eastAsia" w:asciiTheme="minorEastAsia" w:hAnsiTheme="minorEastAsia"/>
          <w:bCs/>
          <w:color w:val="auto"/>
          <w:highlight w:val="none"/>
        </w:rPr>
        <w:t>京东资产交易平台规则参与竞</w:t>
      </w:r>
      <w:r>
        <w:rPr>
          <w:rFonts w:hint="eastAsia" w:cs="Tahoma" w:asciiTheme="minorEastAsia" w:hAnsiTheme="minorEastAsia"/>
          <w:bCs/>
          <w:color w:val="auto"/>
          <w:highlight w:val="none"/>
        </w:rPr>
        <w:t>价</w:t>
      </w:r>
      <w:r>
        <w:rPr>
          <w:rFonts w:hint="eastAsia" w:asciiTheme="minorEastAsia" w:hAnsiTheme="minorEastAsia"/>
          <w:bCs/>
          <w:color w:val="auto"/>
          <w:highlight w:val="none"/>
        </w:rPr>
        <w:t>。</w:t>
      </w:r>
      <w:r>
        <w:rPr>
          <w:rFonts w:hint="eastAsia" w:cs="Tahoma" w:asciiTheme="minorEastAsia" w:hAnsiTheme="minorEastAsia"/>
          <w:bCs/>
          <w:color w:val="auto"/>
          <w:highlight w:val="none"/>
        </w:rPr>
        <w:t>竞价保证金缴纳后，</w:t>
      </w:r>
      <w:r>
        <w:rPr>
          <w:rFonts w:hint="eastAsia" w:asciiTheme="minorEastAsia" w:hAnsiTheme="minorEastAsia"/>
          <w:bCs/>
          <w:color w:val="auto"/>
          <w:highlight w:val="none"/>
        </w:rPr>
        <w:t>京东资产交易平台</w:t>
      </w:r>
      <w:r>
        <w:rPr>
          <w:rFonts w:hint="eastAsia" w:cs="Tahoma" w:asciiTheme="minorEastAsia" w:hAnsiTheme="minorEastAsia"/>
          <w:bCs/>
          <w:color w:val="auto"/>
          <w:highlight w:val="none"/>
        </w:rPr>
        <w:t>将按规定冻结竞买人网银在线账户内应缴的竞价保证金。</w:t>
      </w:r>
      <w:r>
        <w:rPr>
          <w:rFonts w:hint="eastAsia" w:cs="Tahoma" w:asciiTheme="minorEastAsia" w:hAnsiTheme="minorEastAsia" w:eastAsiaTheme="minorEastAsia"/>
          <w:bCs/>
          <w:color w:val="auto"/>
          <w:highlight w:val="none"/>
        </w:rPr>
        <w:t>竞价结束后,未能竞得者冻结的保证金自动解冻，冻结期间不计利息</w:t>
      </w:r>
      <w:r>
        <w:rPr>
          <w:rFonts w:hint="eastAsia" w:cs="Tahoma" w:asciiTheme="minorEastAsia" w:hAnsiTheme="minorEastAsia"/>
          <w:bCs/>
          <w:color w:val="auto"/>
          <w:highlight w:val="none"/>
        </w:rPr>
        <w:t>；竞价标的竞得者原冻结的竞价保证金在竞得者向</w:t>
      </w:r>
      <w:r>
        <w:rPr>
          <w:rFonts w:hint="eastAsia" w:cs="Tahoma" w:asciiTheme="minorEastAsia" w:hAnsiTheme="minorEastAsia" w:eastAsiaTheme="minorEastAsia"/>
          <w:bCs/>
          <w:color w:val="auto"/>
          <w:highlight w:val="none"/>
        </w:rPr>
        <w:t>京东资产交易平台</w:t>
      </w:r>
      <w:r>
        <w:rPr>
          <w:rFonts w:hint="eastAsia" w:cs="Tahoma" w:asciiTheme="minorEastAsia" w:hAnsiTheme="minorEastAsia"/>
          <w:bCs/>
          <w:color w:val="auto"/>
          <w:highlight w:val="none"/>
        </w:rPr>
        <w:t>支付线上交易服务费后自动转入</w:t>
      </w:r>
      <w:r>
        <w:rPr>
          <w:rFonts w:hint="eastAsia"/>
          <w:bCs/>
          <w:color w:val="auto"/>
          <w:highlight w:val="none"/>
        </w:rPr>
        <w:t>中国长城资产广东分公司</w:t>
      </w:r>
      <w:r>
        <w:rPr>
          <w:rFonts w:hint="eastAsia" w:cs="Tahoma" w:asciiTheme="minorEastAsia" w:hAnsiTheme="minorEastAsia"/>
          <w:bCs/>
          <w:color w:val="auto"/>
          <w:highlight w:val="none"/>
        </w:rPr>
        <w:t>指定账户；尾款请直接划付至</w:t>
      </w:r>
      <w:r>
        <w:rPr>
          <w:rFonts w:hint="eastAsia"/>
          <w:bCs/>
          <w:color w:val="auto"/>
          <w:highlight w:val="none"/>
        </w:rPr>
        <w:t>中国长城资产广东分公司</w:t>
      </w:r>
      <w:r>
        <w:rPr>
          <w:rFonts w:hint="eastAsia" w:cs="Tahoma" w:asciiTheme="minorEastAsia" w:hAnsiTheme="minorEastAsia"/>
          <w:bCs/>
          <w:color w:val="auto"/>
          <w:highlight w:val="none"/>
        </w:rPr>
        <w:t>以下指定账户(以此为准)：</w:t>
      </w:r>
    </w:p>
    <w:p>
      <w:pPr>
        <w:tabs>
          <w:tab w:val="left" w:pos="1260"/>
        </w:tabs>
        <w:snapToGrid w:val="0"/>
        <w:spacing w:line="400" w:lineRule="exact"/>
        <w:ind w:right="-87" w:firstLine="560" w:firstLineChars="200"/>
        <w:rPr>
          <w:rFonts w:ascii="楷体_GB2312" w:eastAsia="楷体_GB2312"/>
          <w:bCs/>
          <w:color w:val="auto"/>
          <w:sz w:val="28"/>
          <w:highlight w:val="none"/>
        </w:rPr>
      </w:pPr>
      <w:r>
        <w:rPr>
          <w:rFonts w:hint="eastAsia" w:ascii="楷体_GB2312" w:eastAsia="楷体_GB2312"/>
          <w:bCs/>
          <w:color w:val="auto"/>
          <w:sz w:val="28"/>
          <w:highlight w:val="none"/>
        </w:rPr>
        <w:t>户    名：中国长城资产管理股份有限公司广东省分公司</w:t>
      </w:r>
    </w:p>
    <w:p>
      <w:pPr>
        <w:tabs>
          <w:tab w:val="left" w:pos="1260"/>
        </w:tabs>
        <w:snapToGrid w:val="0"/>
        <w:spacing w:line="400" w:lineRule="exact"/>
        <w:ind w:right="-87" w:firstLine="560" w:firstLineChars="200"/>
        <w:rPr>
          <w:rFonts w:ascii="楷体_GB2312" w:eastAsia="楷体_GB2312"/>
          <w:bCs/>
          <w:color w:val="auto"/>
          <w:sz w:val="28"/>
          <w:highlight w:val="none"/>
        </w:rPr>
      </w:pPr>
      <w:r>
        <w:rPr>
          <w:rFonts w:hint="eastAsia" w:ascii="楷体_GB2312" w:eastAsia="楷体_GB2312"/>
          <w:bCs/>
          <w:color w:val="auto"/>
          <w:sz w:val="28"/>
          <w:highlight w:val="none"/>
        </w:rPr>
        <w:t>开户银行：农业银行广州梅花路支行</w:t>
      </w:r>
    </w:p>
    <w:p>
      <w:pPr>
        <w:pStyle w:val="6"/>
        <w:spacing w:before="0" w:beforeAutospacing="0" w:after="240" w:afterAutospacing="0" w:line="400" w:lineRule="exact"/>
        <w:ind w:left="0" w:firstLine="560" w:firstLineChars="200"/>
        <w:rPr>
          <w:rFonts w:cs="Tahoma" w:asciiTheme="minorEastAsia" w:hAnsiTheme="minorEastAsia" w:eastAsiaTheme="minorEastAsia"/>
          <w:bCs/>
          <w:color w:val="auto"/>
          <w:sz w:val="28"/>
          <w:highlight w:val="none"/>
        </w:rPr>
      </w:pPr>
      <w:r>
        <w:rPr>
          <w:rFonts w:hint="eastAsia" w:ascii="楷体_GB2312" w:eastAsia="楷体_GB2312"/>
          <w:bCs/>
          <w:color w:val="auto"/>
          <w:sz w:val="28"/>
          <w:highlight w:val="none"/>
        </w:rPr>
        <w:t>账    号：44-030201040003392</w:t>
      </w:r>
    </w:p>
    <w:p>
      <w:pPr>
        <w:pStyle w:val="6"/>
        <w:spacing w:before="0" w:beforeAutospacing="0" w:after="240" w:afterAutospacing="0" w:line="240" w:lineRule="atLeast"/>
        <w:ind w:left="142" w:firstLine="482"/>
        <w:rPr>
          <w:rFonts w:cs="Tahoma" w:asciiTheme="minorEastAsia" w:hAnsiTheme="minorEastAsia" w:eastAsiaTheme="minorEastAsia"/>
          <w:bCs/>
          <w:color w:val="auto"/>
          <w:highlight w:val="none"/>
        </w:rPr>
      </w:pPr>
      <w:r>
        <w:rPr>
          <w:rFonts w:ascii="Tahoma" w:hAnsi="Tahoma" w:cs="Tahoma"/>
          <w:bCs/>
          <w:color w:val="auto"/>
          <w:sz w:val="18"/>
          <w:szCs w:val="18"/>
          <w:highlight w:val="none"/>
        </w:rPr>
        <w:t>2</w:t>
      </w:r>
      <w:r>
        <w:rPr>
          <w:rFonts w:hint="eastAsia" w:cs="Tahoma" w:asciiTheme="minorEastAsia" w:hAnsiTheme="minorEastAsia" w:eastAsiaTheme="minorEastAsia"/>
          <w:bCs/>
          <w:color w:val="auto"/>
          <w:highlight w:val="none"/>
        </w:rPr>
        <w:t>、竞买人缴纳保</w:t>
      </w:r>
      <w:bookmarkStart w:id="1" w:name="_GoBack"/>
      <w:bookmarkEnd w:id="1"/>
      <w:r>
        <w:rPr>
          <w:rFonts w:hint="eastAsia" w:cs="Tahoma" w:asciiTheme="minorEastAsia" w:hAnsiTheme="minorEastAsia" w:eastAsiaTheme="minorEastAsia"/>
          <w:bCs/>
          <w:color w:val="auto"/>
          <w:highlight w:val="none"/>
        </w:rPr>
        <w:t>证金可能会遇到当天限额无法支付的情况，请竞买人提前了解</w:t>
      </w:r>
      <w:r>
        <w:rPr>
          <w:rFonts w:hint="eastAsia" w:asciiTheme="minorEastAsia" w:hAnsiTheme="minorEastAsia"/>
          <w:bCs/>
          <w:color w:val="auto"/>
          <w:highlight w:val="none"/>
        </w:rPr>
        <w:t>京东资产交易平台</w:t>
      </w:r>
      <w:r>
        <w:rPr>
          <w:rFonts w:hint="eastAsia" w:cs="Tahoma" w:asciiTheme="minorEastAsia" w:hAnsiTheme="minorEastAsia" w:eastAsiaTheme="minorEastAsia"/>
          <w:bCs/>
          <w:color w:val="auto"/>
          <w:highlight w:val="none"/>
        </w:rPr>
        <w:t>竞价</w:t>
      </w:r>
      <w:r>
        <w:rPr>
          <w:rFonts w:hint="eastAsia" w:asciiTheme="minorEastAsia" w:hAnsiTheme="minorEastAsia"/>
          <w:bCs/>
          <w:color w:val="auto"/>
          <w:highlight w:val="none"/>
        </w:rPr>
        <w:t>保证金规则，并</w:t>
      </w:r>
      <w:r>
        <w:rPr>
          <w:rFonts w:hint="eastAsia" w:cs="Tahoma" w:asciiTheme="minorEastAsia" w:hAnsiTheme="minorEastAsia" w:eastAsiaTheme="minorEastAsia"/>
          <w:bCs/>
          <w:color w:val="auto"/>
          <w:highlight w:val="none"/>
        </w:rPr>
        <w:t>根据自身情况选择合适的缴纳方式，以免影响参与竞价。</w:t>
      </w:r>
    </w:p>
    <w:p>
      <w:pPr>
        <w:pStyle w:val="6"/>
        <w:spacing w:before="0" w:beforeAutospacing="0" w:after="240" w:afterAutospacing="0" w:line="240" w:lineRule="atLeast"/>
        <w:ind w:left="142" w:firstLine="36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六、咨询时间及方式</w:t>
      </w:r>
    </w:p>
    <w:p>
      <w:pPr>
        <w:pStyle w:val="6"/>
        <w:spacing w:before="0" w:beforeAutospacing="0" w:after="240" w:afterAutospacing="0" w:line="240" w:lineRule="atLeast"/>
        <w:ind w:left="142" w:firstLine="482"/>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现场咨询时间：自本公告发布之日起</w:t>
      </w:r>
      <w:r>
        <w:rPr>
          <w:rFonts w:hint="eastAsia" w:cs="Tahoma" w:asciiTheme="minorEastAsia" w:hAnsiTheme="minorEastAsia" w:eastAsiaTheme="minorEastAsia"/>
          <w:bCs/>
          <w:color w:val="auto"/>
          <w:highlight w:val="none"/>
          <w:u w:val="single"/>
        </w:rPr>
        <w:t>至</w:t>
      </w:r>
      <w:r>
        <w:rPr>
          <w:rFonts w:hint="eastAsia"/>
          <w:color w:val="auto"/>
          <w:highlight w:val="none"/>
        </w:rPr>
        <w:t>2025年6</w:t>
      </w:r>
      <w:r>
        <w:rPr>
          <w:rFonts w:hint="eastAsia" w:cs="Tahoma" w:asciiTheme="minorEastAsia" w:hAnsiTheme="minorEastAsia" w:eastAsiaTheme="minorEastAsia"/>
          <w:bCs/>
          <w:color w:val="auto"/>
          <w:highlight w:val="none"/>
          <w:u w:val="single"/>
        </w:rPr>
        <w:t>月1</w:t>
      </w:r>
      <w:r>
        <w:rPr>
          <w:rFonts w:hint="eastAsia" w:cs="Tahoma" w:asciiTheme="minorEastAsia" w:hAnsiTheme="minorEastAsia" w:eastAsiaTheme="minorEastAsia"/>
          <w:bCs/>
          <w:color w:val="auto"/>
          <w:highlight w:val="none"/>
          <w:u w:val="single"/>
          <w:lang w:eastAsia="zh-CN"/>
        </w:rPr>
        <w:t>8</w:t>
      </w:r>
      <w:r>
        <w:rPr>
          <w:rFonts w:hint="eastAsia" w:cs="Tahoma" w:asciiTheme="minorEastAsia" w:hAnsiTheme="minorEastAsia" w:eastAsiaTheme="minorEastAsia"/>
          <w:bCs/>
          <w:color w:val="auto"/>
          <w:highlight w:val="none"/>
          <w:u w:val="single"/>
        </w:rPr>
        <w:t>日17:30（</w:t>
      </w:r>
      <w:r>
        <w:rPr>
          <w:rFonts w:hint="eastAsia" w:cs="Tahoma"/>
          <w:bCs/>
          <w:color w:val="auto"/>
          <w:highlight w:val="none"/>
        </w:rPr>
        <w:t>节假日及工作日非正常营业时间除外）接受现场咨询，</w:t>
      </w:r>
      <w:r>
        <w:rPr>
          <w:rFonts w:hint="eastAsia" w:cs="Tahoma" w:asciiTheme="minorEastAsia" w:hAnsiTheme="minorEastAsia" w:eastAsiaTheme="minorEastAsia"/>
          <w:bCs/>
          <w:color w:val="auto"/>
          <w:highlight w:val="none"/>
        </w:rPr>
        <w:t>有意者请联系。</w:t>
      </w:r>
    </w:p>
    <w:p>
      <w:pPr>
        <w:pStyle w:val="6"/>
        <w:spacing w:before="0" w:beforeAutospacing="0" w:after="240" w:afterAutospacing="0" w:line="240" w:lineRule="atLeast"/>
        <w:ind w:left="142" w:firstLine="482"/>
        <w:rPr>
          <w:rFonts w:cs="Tahoma" w:asciiTheme="minorEastAsia" w:hAnsiTheme="minorEastAsia" w:eastAsiaTheme="minorEastAsia"/>
          <w:bCs/>
          <w:color w:val="auto"/>
          <w:highlight w:val="none"/>
          <w:u w:val="single"/>
        </w:rPr>
      </w:pPr>
      <w:r>
        <w:rPr>
          <w:rFonts w:hint="eastAsia" w:cs="Tahoma" w:asciiTheme="minorEastAsia" w:hAnsiTheme="minorEastAsia" w:eastAsiaTheme="minorEastAsia"/>
          <w:bCs/>
          <w:color w:val="auto"/>
          <w:highlight w:val="none"/>
        </w:rPr>
        <w:t>现场接待地址：</w:t>
      </w:r>
      <w:r>
        <w:rPr>
          <w:rFonts w:hint="eastAsia" w:cs="Tahoma" w:asciiTheme="minorEastAsia" w:hAnsiTheme="minorEastAsia" w:eastAsiaTheme="minorEastAsia"/>
          <w:bCs/>
          <w:color w:val="auto"/>
          <w:highlight w:val="none"/>
          <w:u w:val="single"/>
        </w:rPr>
        <w:t>广州市天河区冼村路5号凯华国际中心49层</w:t>
      </w:r>
    </w:p>
    <w:p>
      <w:pPr>
        <w:pStyle w:val="6"/>
        <w:spacing w:before="0" w:beforeAutospacing="0" w:after="240" w:afterAutospacing="0" w:line="240" w:lineRule="atLeast"/>
        <w:ind w:left="142" w:firstLine="482"/>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电话咨询时间：自本公告发布之日起至</w:t>
      </w:r>
      <w:r>
        <w:rPr>
          <w:rFonts w:hint="eastAsia"/>
          <w:color w:val="auto"/>
          <w:highlight w:val="none"/>
        </w:rPr>
        <w:t>2025年6</w:t>
      </w:r>
      <w:r>
        <w:rPr>
          <w:rFonts w:hint="eastAsia" w:cs="Tahoma" w:asciiTheme="minorEastAsia" w:hAnsiTheme="minorEastAsia" w:eastAsiaTheme="minorEastAsia"/>
          <w:bCs/>
          <w:color w:val="auto"/>
          <w:highlight w:val="none"/>
          <w:u w:val="single"/>
        </w:rPr>
        <w:t>月1</w:t>
      </w:r>
      <w:r>
        <w:rPr>
          <w:rFonts w:hint="eastAsia" w:cs="Tahoma" w:asciiTheme="minorEastAsia" w:hAnsiTheme="minorEastAsia" w:eastAsiaTheme="minorEastAsia"/>
          <w:bCs/>
          <w:color w:val="auto"/>
          <w:highlight w:val="none"/>
          <w:u w:val="single"/>
          <w:lang w:eastAsia="zh-CN"/>
        </w:rPr>
        <w:t>8</w:t>
      </w:r>
      <w:r>
        <w:rPr>
          <w:rFonts w:hint="eastAsia" w:cs="Tahoma" w:asciiTheme="minorEastAsia" w:hAnsiTheme="minorEastAsia" w:eastAsiaTheme="minorEastAsia"/>
          <w:bCs/>
          <w:color w:val="auto"/>
          <w:highlight w:val="none"/>
          <w:u w:val="single"/>
        </w:rPr>
        <w:t>日17:30（</w:t>
      </w:r>
      <w:r>
        <w:rPr>
          <w:rFonts w:hint="eastAsia" w:cs="Tahoma"/>
          <w:bCs/>
          <w:color w:val="auto"/>
          <w:highlight w:val="none"/>
        </w:rPr>
        <w:t>节假日及工作日非正常营业时间除外）</w:t>
      </w:r>
      <w:r>
        <w:rPr>
          <w:rFonts w:hint="eastAsia" w:cs="Tahoma" w:asciiTheme="minorEastAsia" w:hAnsiTheme="minorEastAsia" w:eastAsiaTheme="minorEastAsia"/>
          <w:bCs/>
          <w:color w:val="auto"/>
          <w:highlight w:val="none"/>
        </w:rPr>
        <w:t>接受电话咨询，有意者请来电咨询。</w:t>
      </w:r>
    </w:p>
    <w:p>
      <w:pPr>
        <w:pStyle w:val="6"/>
        <w:spacing w:before="330" w:beforeAutospacing="0" w:after="240" w:afterAutospacing="0" w:line="240" w:lineRule="atLeast"/>
        <w:ind w:firstLine="567"/>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咨询联系电话：</w:t>
      </w:r>
      <w:r>
        <w:rPr>
          <w:rFonts w:cs="Tahoma" w:asciiTheme="minorEastAsia" w:hAnsiTheme="minorEastAsia" w:eastAsiaTheme="minorEastAsia"/>
          <w:bCs/>
          <w:color w:val="auto"/>
          <w:highlight w:val="none"/>
        </w:rPr>
        <w:t xml:space="preserve"> </w:t>
      </w:r>
      <w:r>
        <w:rPr>
          <w:rFonts w:hint="eastAsia"/>
          <w:bCs/>
          <w:color w:val="auto"/>
          <w:highlight w:val="none"/>
        </w:rPr>
        <w:t>电话：020-87305495</w:t>
      </w:r>
      <w:r>
        <w:rPr>
          <w:rFonts w:hint="eastAsia" w:cs="Tahoma" w:asciiTheme="minorEastAsia" w:hAnsiTheme="minorEastAsia" w:eastAsiaTheme="minorEastAsia"/>
          <w:bCs/>
          <w:color w:val="auto"/>
          <w:highlight w:val="none"/>
        </w:rPr>
        <w:t>，联系人：</w:t>
      </w:r>
      <w:r>
        <w:rPr>
          <w:rFonts w:hint="eastAsia"/>
          <w:bCs/>
          <w:color w:val="auto"/>
          <w:highlight w:val="none"/>
        </w:rPr>
        <w:t>司徒经理</w:t>
      </w:r>
    </w:p>
    <w:p>
      <w:pPr>
        <w:pStyle w:val="6"/>
        <w:spacing w:before="0" w:beforeAutospacing="0" w:after="240" w:afterAutospacing="0" w:line="240" w:lineRule="atLeast"/>
        <w:ind w:left="142" w:firstLine="36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七、竞价方式</w:t>
      </w:r>
    </w:p>
    <w:p>
      <w:pPr>
        <w:pStyle w:val="6"/>
        <w:spacing w:before="0" w:beforeAutospacing="0" w:after="240" w:afterAutospacing="0" w:line="240" w:lineRule="atLeast"/>
        <w:ind w:firstLine="60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网络竞价方式：设有保留价的增价竞价方式，不到保留价不成交。</w:t>
      </w:r>
    </w:p>
    <w:p>
      <w:pPr>
        <w:pStyle w:val="6"/>
        <w:spacing w:before="0" w:beforeAutospacing="0" w:after="240" w:afterAutospacing="0" w:line="240" w:lineRule="atLeast"/>
        <w:ind w:firstLine="60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本次竞价活动设置延时出价功能，在竞价活动结束前，每最后5分钟如果有竞买人出价，则自动延迟</w:t>
      </w:r>
      <w:r>
        <w:rPr>
          <w:rFonts w:cs="Tahoma" w:asciiTheme="minorEastAsia" w:hAnsiTheme="minorEastAsia" w:eastAsiaTheme="minorEastAsia"/>
          <w:bCs/>
          <w:color w:val="auto"/>
          <w:highlight w:val="none"/>
        </w:rPr>
        <w:t>5</w:t>
      </w:r>
      <w:r>
        <w:rPr>
          <w:rFonts w:hint="eastAsia" w:cs="Tahoma" w:asciiTheme="minorEastAsia" w:hAnsiTheme="minorEastAsia" w:eastAsiaTheme="minorEastAsia"/>
          <w:bCs/>
          <w:color w:val="auto"/>
          <w:highlight w:val="none"/>
        </w:rPr>
        <w:t>分钟。</w:t>
      </w:r>
    </w:p>
    <w:p>
      <w:pPr>
        <w:pStyle w:val="6"/>
        <w:spacing w:before="0" w:beforeAutospacing="0" w:after="240" w:afterAutospacing="0" w:line="240" w:lineRule="atLeast"/>
        <w:ind w:left="142" w:firstLine="36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八、付款方式和期限：一次性付款，买受人在《债权转让协议》签订之日（含当日）起3个工作日内付清全部转让价款。详见《债权转让协议》。</w:t>
      </w:r>
    </w:p>
    <w:p>
      <w:pPr>
        <w:pStyle w:val="6"/>
        <w:spacing w:before="0" w:beforeAutospacing="0" w:after="240" w:afterAutospacing="0" w:line="240" w:lineRule="atLeast"/>
        <w:ind w:left="142" w:firstLine="36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九、特别提醒</w:t>
      </w:r>
    </w:p>
    <w:p>
      <w:pPr>
        <w:pStyle w:val="6"/>
        <w:spacing w:before="0" w:beforeAutospacing="0" w:after="240" w:afterAutospacing="0" w:line="240" w:lineRule="atLeast"/>
        <w:ind w:firstLine="480" w:firstLineChars="20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1</w:t>
      </w:r>
      <w:r>
        <w:rPr>
          <w:rFonts w:hint="eastAsia" w:cs="Tahoma" w:asciiTheme="minorEastAsia" w:hAnsiTheme="minorEastAsia" w:eastAsiaTheme="minorEastAsia"/>
          <w:bCs/>
          <w:color w:val="auto"/>
          <w:highlight w:val="none"/>
        </w:rPr>
        <w:t>、竞价标的以现状为准，</w:t>
      </w:r>
      <w:r>
        <w:rPr>
          <w:rFonts w:hint="eastAsia"/>
          <w:bCs/>
          <w:color w:val="auto"/>
          <w:highlight w:val="none"/>
        </w:rPr>
        <w:t>中国长城资产广东分公司</w:t>
      </w:r>
      <w:r>
        <w:rPr>
          <w:rFonts w:hint="eastAsia" w:cs="Tahoma" w:asciiTheme="minorEastAsia" w:hAnsiTheme="minorEastAsia" w:eastAsiaTheme="minorEastAsia"/>
          <w:bCs/>
          <w:color w:val="auto"/>
          <w:highlight w:val="none"/>
        </w:rPr>
        <w:t>不承担竞价标的的瑕疵担保责任。请慎重决定竞买行为，竞买人一旦作出竞买决定，即表明已完全了解并接受竞价标的的现状和一切已知及未知的瑕疵。</w:t>
      </w:r>
    </w:p>
    <w:p>
      <w:pPr>
        <w:pStyle w:val="6"/>
        <w:spacing w:before="0" w:beforeAutospacing="0" w:after="240" w:afterAutospacing="0" w:line="240" w:lineRule="atLeast"/>
        <w:ind w:firstLine="480" w:firstLineChars="20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2</w:t>
      </w:r>
      <w:r>
        <w:rPr>
          <w:rFonts w:hint="eastAsia" w:cs="Tahoma" w:asciiTheme="minorEastAsia" w:hAnsiTheme="minorEastAsia" w:eastAsiaTheme="minorEastAsia"/>
          <w:bCs/>
          <w:color w:val="auto"/>
          <w:highlight w:val="none"/>
        </w:rPr>
        <w:t>、参与竞买人必须开设京东账户。竞买人在竞价前自行做好尽职调查，竞买人自行判断是否符合受让竞价标的资格。</w:t>
      </w:r>
    </w:p>
    <w:p>
      <w:pPr>
        <w:pStyle w:val="6"/>
        <w:spacing w:before="0" w:beforeAutospacing="0" w:after="240" w:afterAutospacing="0" w:line="240" w:lineRule="atLeast"/>
        <w:ind w:firstLine="480" w:firstLineChars="20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3</w:t>
      </w:r>
      <w:r>
        <w:rPr>
          <w:rFonts w:hint="eastAsia" w:cs="Tahoma" w:asciiTheme="minorEastAsia" w:hAnsiTheme="minorEastAsia" w:eastAsiaTheme="minorEastAsia"/>
          <w:bCs/>
          <w:color w:val="auto"/>
          <w:highlight w:val="none"/>
        </w:rPr>
        <w:t>、因不符合条件参加竞买的，由竞买人自行承担相应的法律责任，并自行承担由此产生的全部责任及后果，包括但不限于费用、风险和损失。</w:t>
      </w:r>
    </w:p>
    <w:p>
      <w:pPr>
        <w:pStyle w:val="6"/>
        <w:spacing w:before="0" w:beforeAutospacing="0" w:after="240" w:afterAutospacing="0" w:line="240" w:lineRule="atLeast"/>
        <w:ind w:firstLine="480" w:firstLineChars="20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4</w:t>
      </w:r>
      <w:r>
        <w:rPr>
          <w:rFonts w:hint="eastAsia" w:cs="Tahoma" w:asciiTheme="minorEastAsia" w:hAnsiTheme="minorEastAsia" w:eastAsiaTheme="minorEastAsia"/>
          <w:bCs/>
          <w:color w:val="auto"/>
          <w:highlight w:val="none"/>
        </w:rPr>
        <w:t>、竞价标的转移登记手续由买受人自行办理，所涉及的一切税费以及线上交易服务费等均由买受人承担。</w:t>
      </w:r>
    </w:p>
    <w:p>
      <w:pPr>
        <w:pStyle w:val="6"/>
        <w:spacing w:before="0" w:beforeAutospacing="0" w:after="240" w:afterAutospacing="0" w:line="240" w:lineRule="atLeast"/>
        <w:ind w:firstLine="480" w:firstLineChars="200"/>
        <w:rPr>
          <w:rFonts w:cs="Tahoma" w:asciiTheme="minorEastAsia" w:hAnsiTheme="minorEastAsia" w:eastAsiaTheme="minorEastAsia"/>
          <w:bCs/>
          <w:color w:val="auto"/>
          <w:highlight w:val="none"/>
        </w:rPr>
      </w:pPr>
      <w:r>
        <w:rPr>
          <w:rFonts w:cs="Tahoma" w:asciiTheme="minorEastAsia" w:hAnsiTheme="minorEastAsia" w:eastAsiaTheme="minorEastAsia"/>
          <w:bCs/>
          <w:color w:val="auto"/>
          <w:highlight w:val="none"/>
        </w:rPr>
        <w:t>5</w:t>
      </w:r>
      <w:r>
        <w:rPr>
          <w:rFonts w:hint="eastAsia" w:cs="Tahoma" w:asciiTheme="minorEastAsia" w:hAnsiTheme="minorEastAsia" w:eastAsiaTheme="minorEastAsia"/>
          <w:bCs/>
          <w:color w:val="auto"/>
          <w:highlight w:val="none"/>
        </w:rPr>
        <w:t>、竞价标的的优先购买权人未参加竞价的，视为放弃优先购买权。但本款规定不应视为</w:t>
      </w:r>
      <w:r>
        <w:rPr>
          <w:rFonts w:hint="eastAsia"/>
          <w:bCs/>
          <w:color w:val="auto"/>
          <w:highlight w:val="none"/>
        </w:rPr>
        <w:t>中国长城资产广东分公司</w:t>
      </w:r>
      <w:r>
        <w:rPr>
          <w:rFonts w:hint="eastAsia" w:cs="Tahoma" w:asciiTheme="minorEastAsia" w:hAnsiTheme="minorEastAsia" w:eastAsiaTheme="minorEastAsia"/>
          <w:bCs/>
          <w:color w:val="auto"/>
          <w:highlight w:val="none"/>
        </w:rPr>
        <w:t>对竞买人（买受人）与相关优先购买权人之间任何争议造成的任何损失承担赔偿责任或其他任何法律责任。</w:t>
      </w:r>
    </w:p>
    <w:p>
      <w:pPr>
        <w:pStyle w:val="6"/>
        <w:spacing w:before="0" w:beforeAutospacing="0" w:after="240" w:afterAutospacing="0" w:line="240" w:lineRule="atLeast"/>
        <w:ind w:firstLine="480" w:firstLineChars="20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6、竞买成交后，买受人应积极配合</w:t>
      </w:r>
      <w:r>
        <w:rPr>
          <w:rFonts w:hint="eastAsia"/>
          <w:bCs/>
          <w:color w:val="auto"/>
          <w:highlight w:val="none"/>
        </w:rPr>
        <w:t>中国长城资产广东分公司</w:t>
      </w:r>
      <w:r>
        <w:rPr>
          <w:rFonts w:hint="eastAsia" w:cs="Tahoma" w:asciiTheme="minorEastAsia" w:hAnsiTheme="minorEastAsia" w:eastAsiaTheme="minorEastAsia"/>
          <w:bCs/>
          <w:color w:val="auto"/>
          <w:highlight w:val="none"/>
        </w:rPr>
        <w:t>开展反洗钱审查工作，如实提供身份信息及相关证明材料。</w:t>
      </w:r>
    </w:p>
    <w:p>
      <w:pPr>
        <w:pStyle w:val="6"/>
        <w:spacing w:before="0" w:beforeAutospacing="0" w:after="240" w:afterAutospacing="0" w:line="240" w:lineRule="atLeast"/>
        <w:ind w:firstLine="480" w:firstLineChars="20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7、竞买人在竞价前请务必再仔细阅读《竞买公告》、《竞买须知》、《债权转让协议》。</w:t>
      </w:r>
    </w:p>
    <w:p>
      <w:pPr>
        <w:pStyle w:val="6"/>
        <w:wordWrap w:val="0"/>
        <w:spacing w:before="330" w:beforeAutospacing="0" w:after="240" w:afterAutospacing="0" w:line="240" w:lineRule="atLeast"/>
        <w:ind w:firstLine="360"/>
        <w:jc w:val="right"/>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中国长城资产管理股份有限公司广东省分公司</w:t>
      </w:r>
    </w:p>
    <w:p>
      <w:pPr>
        <w:pStyle w:val="6"/>
        <w:spacing w:before="330" w:beforeAutospacing="0" w:after="240" w:afterAutospacing="0" w:line="240" w:lineRule="atLeast"/>
        <w:ind w:right="480" w:firstLine="4920" w:firstLineChars="2050"/>
        <w:rPr>
          <w:rFonts w:cs="Tahoma" w:asciiTheme="minorEastAsia" w:hAnsiTheme="minorEastAsia" w:eastAsiaTheme="minorEastAsia"/>
          <w:bCs/>
          <w:color w:val="auto"/>
          <w:highlight w:val="none"/>
        </w:rPr>
      </w:pPr>
      <w:r>
        <w:rPr>
          <w:rFonts w:hint="eastAsia" w:cs="Tahoma" w:asciiTheme="minorEastAsia" w:hAnsiTheme="minorEastAsia" w:eastAsiaTheme="minorEastAsia"/>
          <w:bCs/>
          <w:color w:val="auto"/>
          <w:highlight w:val="none"/>
        </w:rPr>
        <w:t>2025年6月</w:t>
      </w:r>
      <w:r>
        <w:rPr>
          <w:rFonts w:hint="eastAsia" w:cs="Tahoma" w:asciiTheme="minorEastAsia" w:hAnsiTheme="minorEastAsia" w:eastAsiaTheme="minorEastAsia"/>
          <w:bCs/>
          <w:color w:val="auto"/>
          <w:highlight w:val="none"/>
          <w:lang w:eastAsia="zh-CN"/>
        </w:rPr>
        <w:t>1</w:t>
      </w:r>
      <w:r>
        <w:rPr>
          <w:rFonts w:hint="eastAsia" w:cs="Tahoma" w:asciiTheme="minorEastAsia" w:hAnsiTheme="minorEastAsia" w:eastAsiaTheme="minorEastAsia"/>
          <w:bCs/>
          <w:color w:val="auto"/>
          <w:highlight w:val="none"/>
          <w:lang w:val="en-US" w:eastAsia="zh-CN"/>
        </w:rPr>
        <w:t>6</w:t>
      </w:r>
      <w:r>
        <w:rPr>
          <w:rFonts w:hint="eastAsia" w:cs="Tahoma" w:asciiTheme="minorEastAsia" w:hAnsiTheme="minorEastAsia" w:eastAsiaTheme="minorEastAsia"/>
          <w:bCs/>
          <w:color w:val="auto"/>
          <w:highlight w:val="none"/>
        </w:rPr>
        <w:t>日</w:t>
      </w:r>
    </w:p>
    <w:p>
      <w:pPr>
        <w:rPr>
          <w:bCs/>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F2F2410000EB5C" w:val=" "/>
    <w:docVar w:name="6476F905000093FA" w:val=" "/>
    <w:docVar w:name="6476FB4500005C16" w:val=" "/>
    <w:docVar w:name="64783DCB0000B5BD" w:val=" "/>
    <w:docVar w:name="6499531A00002FB9" w:val=" "/>
    <w:docVar w:name="649967CF000012B2" w:val=" "/>
    <w:docVar w:name="649A3EEF00008D44" w:val=" "/>
    <w:docVar w:name="649A8CE10000C489" w:val=" "/>
    <w:docVar w:name="649A8E920000610A" w:val=" "/>
    <w:docVar w:name="672C7B510000A103" w:val=" "/>
    <w:docVar w:name="672D87DE00001AE8" w:val=" "/>
    <w:docVar w:name="675FF31000008B24" w:val=" "/>
  </w:docVars>
  <w:rsids>
    <w:rsidRoot w:val="00705B51"/>
    <w:rsid w:val="0000498D"/>
    <w:rsid w:val="00013E9F"/>
    <w:rsid w:val="000236B3"/>
    <w:rsid w:val="00034808"/>
    <w:rsid w:val="000406F3"/>
    <w:rsid w:val="00047ADA"/>
    <w:rsid w:val="0005779E"/>
    <w:rsid w:val="000740A2"/>
    <w:rsid w:val="000A25F5"/>
    <w:rsid w:val="000A2B01"/>
    <w:rsid w:val="000A6AA4"/>
    <w:rsid w:val="000B614F"/>
    <w:rsid w:val="000B75F5"/>
    <w:rsid w:val="000D4BF1"/>
    <w:rsid w:val="000E5AEB"/>
    <w:rsid w:val="000F0174"/>
    <w:rsid w:val="001130E6"/>
    <w:rsid w:val="001209FE"/>
    <w:rsid w:val="001216F1"/>
    <w:rsid w:val="001350F9"/>
    <w:rsid w:val="00135637"/>
    <w:rsid w:val="00136E23"/>
    <w:rsid w:val="00154703"/>
    <w:rsid w:val="00164B2A"/>
    <w:rsid w:val="00183BA0"/>
    <w:rsid w:val="001C5E71"/>
    <w:rsid w:val="001C7CE1"/>
    <w:rsid w:val="001E058B"/>
    <w:rsid w:val="00200348"/>
    <w:rsid w:val="0020266A"/>
    <w:rsid w:val="00203132"/>
    <w:rsid w:val="00206BE4"/>
    <w:rsid w:val="002165BF"/>
    <w:rsid w:val="0022219F"/>
    <w:rsid w:val="00241356"/>
    <w:rsid w:val="002450E3"/>
    <w:rsid w:val="00264AD5"/>
    <w:rsid w:val="00274C44"/>
    <w:rsid w:val="00295A64"/>
    <w:rsid w:val="00296186"/>
    <w:rsid w:val="002B1167"/>
    <w:rsid w:val="002B330F"/>
    <w:rsid w:val="002C0D2D"/>
    <w:rsid w:val="002C1D45"/>
    <w:rsid w:val="002C708A"/>
    <w:rsid w:val="002F2011"/>
    <w:rsid w:val="00322EEF"/>
    <w:rsid w:val="00350D71"/>
    <w:rsid w:val="00360B8F"/>
    <w:rsid w:val="0037381B"/>
    <w:rsid w:val="003A7875"/>
    <w:rsid w:val="003C2714"/>
    <w:rsid w:val="003E7F7B"/>
    <w:rsid w:val="00412BC0"/>
    <w:rsid w:val="0041524B"/>
    <w:rsid w:val="00467305"/>
    <w:rsid w:val="00490F49"/>
    <w:rsid w:val="004D38CD"/>
    <w:rsid w:val="004F1604"/>
    <w:rsid w:val="005077D7"/>
    <w:rsid w:val="005113E8"/>
    <w:rsid w:val="00513B63"/>
    <w:rsid w:val="005321BE"/>
    <w:rsid w:val="00532DAF"/>
    <w:rsid w:val="005428A2"/>
    <w:rsid w:val="005A1881"/>
    <w:rsid w:val="005B5829"/>
    <w:rsid w:val="005F127B"/>
    <w:rsid w:val="005F356E"/>
    <w:rsid w:val="006123A5"/>
    <w:rsid w:val="00612EDA"/>
    <w:rsid w:val="006208E2"/>
    <w:rsid w:val="00652F18"/>
    <w:rsid w:val="00654B27"/>
    <w:rsid w:val="006617D7"/>
    <w:rsid w:val="006B5B8A"/>
    <w:rsid w:val="006B6C2F"/>
    <w:rsid w:val="006C012A"/>
    <w:rsid w:val="006C20CF"/>
    <w:rsid w:val="006F228C"/>
    <w:rsid w:val="006F3114"/>
    <w:rsid w:val="006F6120"/>
    <w:rsid w:val="00705B51"/>
    <w:rsid w:val="007105A0"/>
    <w:rsid w:val="00722D31"/>
    <w:rsid w:val="0072531E"/>
    <w:rsid w:val="007375BF"/>
    <w:rsid w:val="00762FF9"/>
    <w:rsid w:val="00775256"/>
    <w:rsid w:val="00776777"/>
    <w:rsid w:val="0079077A"/>
    <w:rsid w:val="007B26FF"/>
    <w:rsid w:val="007D6B65"/>
    <w:rsid w:val="007E5590"/>
    <w:rsid w:val="007F2603"/>
    <w:rsid w:val="008044D4"/>
    <w:rsid w:val="0087194A"/>
    <w:rsid w:val="008C7C10"/>
    <w:rsid w:val="00937899"/>
    <w:rsid w:val="009718AE"/>
    <w:rsid w:val="00972A63"/>
    <w:rsid w:val="00976133"/>
    <w:rsid w:val="0098127C"/>
    <w:rsid w:val="00985F9B"/>
    <w:rsid w:val="009B4F8F"/>
    <w:rsid w:val="009C25C5"/>
    <w:rsid w:val="009C508A"/>
    <w:rsid w:val="009D14B7"/>
    <w:rsid w:val="009E6238"/>
    <w:rsid w:val="009F0426"/>
    <w:rsid w:val="009F1CE1"/>
    <w:rsid w:val="00A10AFE"/>
    <w:rsid w:val="00A14004"/>
    <w:rsid w:val="00A57613"/>
    <w:rsid w:val="00A64A9C"/>
    <w:rsid w:val="00A827BA"/>
    <w:rsid w:val="00AA236A"/>
    <w:rsid w:val="00AA2EE8"/>
    <w:rsid w:val="00AB650E"/>
    <w:rsid w:val="00AD5A26"/>
    <w:rsid w:val="00AE6655"/>
    <w:rsid w:val="00AF5B46"/>
    <w:rsid w:val="00AF6270"/>
    <w:rsid w:val="00B06543"/>
    <w:rsid w:val="00B32EC1"/>
    <w:rsid w:val="00B42867"/>
    <w:rsid w:val="00B5538D"/>
    <w:rsid w:val="00B71466"/>
    <w:rsid w:val="00B749B8"/>
    <w:rsid w:val="00B830F2"/>
    <w:rsid w:val="00B91D90"/>
    <w:rsid w:val="00BD11AB"/>
    <w:rsid w:val="00BE6AC1"/>
    <w:rsid w:val="00C0691A"/>
    <w:rsid w:val="00C06CED"/>
    <w:rsid w:val="00C1031D"/>
    <w:rsid w:val="00C107A8"/>
    <w:rsid w:val="00C25B37"/>
    <w:rsid w:val="00C42BBD"/>
    <w:rsid w:val="00C45E94"/>
    <w:rsid w:val="00C5209F"/>
    <w:rsid w:val="00C72997"/>
    <w:rsid w:val="00C823C0"/>
    <w:rsid w:val="00C82DF4"/>
    <w:rsid w:val="00CB26D7"/>
    <w:rsid w:val="00CC03F0"/>
    <w:rsid w:val="00CE3757"/>
    <w:rsid w:val="00CF3FD0"/>
    <w:rsid w:val="00D125D8"/>
    <w:rsid w:val="00D13B3F"/>
    <w:rsid w:val="00D14462"/>
    <w:rsid w:val="00D22E0C"/>
    <w:rsid w:val="00D3384D"/>
    <w:rsid w:val="00D529DF"/>
    <w:rsid w:val="00D607D6"/>
    <w:rsid w:val="00D65423"/>
    <w:rsid w:val="00D95FC2"/>
    <w:rsid w:val="00DB49B0"/>
    <w:rsid w:val="00DB5CED"/>
    <w:rsid w:val="00DC6ED2"/>
    <w:rsid w:val="00DE7320"/>
    <w:rsid w:val="00E018D5"/>
    <w:rsid w:val="00E02A63"/>
    <w:rsid w:val="00E11169"/>
    <w:rsid w:val="00E27230"/>
    <w:rsid w:val="00E45C8A"/>
    <w:rsid w:val="00E45CF3"/>
    <w:rsid w:val="00E602B3"/>
    <w:rsid w:val="00E73F07"/>
    <w:rsid w:val="00E879A9"/>
    <w:rsid w:val="00E92A6A"/>
    <w:rsid w:val="00EB142B"/>
    <w:rsid w:val="00EC6024"/>
    <w:rsid w:val="00EE6513"/>
    <w:rsid w:val="00EF79AC"/>
    <w:rsid w:val="00F2048C"/>
    <w:rsid w:val="00F21FBC"/>
    <w:rsid w:val="00F401B6"/>
    <w:rsid w:val="00F81880"/>
    <w:rsid w:val="00F87056"/>
    <w:rsid w:val="00F9134B"/>
    <w:rsid w:val="00F93093"/>
    <w:rsid w:val="00FA1985"/>
    <w:rsid w:val="00FB1231"/>
    <w:rsid w:val="00FB446D"/>
    <w:rsid w:val="00FB5912"/>
    <w:rsid w:val="00FC0EA4"/>
    <w:rsid w:val="00FD28A2"/>
    <w:rsid w:val="00FD6693"/>
    <w:rsid w:val="00FD7ED7"/>
    <w:rsid w:val="00FE26C4"/>
    <w:rsid w:val="00FE7E82"/>
    <w:rsid w:val="00FF0BEC"/>
    <w:rsid w:val="00FF0F86"/>
    <w:rsid w:val="00FF7126"/>
    <w:rsid w:val="018F23D2"/>
    <w:rsid w:val="067A3657"/>
    <w:rsid w:val="07AD1461"/>
    <w:rsid w:val="0A8271D1"/>
    <w:rsid w:val="0ADF62BB"/>
    <w:rsid w:val="0BAF19A5"/>
    <w:rsid w:val="0BC539A9"/>
    <w:rsid w:val="0D54591D"/>
    <w:rsid w:val="0E6D20A9"/>
    <w:rsid w:val="0EE2736A"/>
    <w:rsid w:val="0F9D5042"/>
    <w:rsid w:val="106D66BB"/>
    <w:rsid w:val="107114D1"/>
    <w:rsid w:val="10C064E7"/>
    <w:rsid w:val="113B3B0C"/>
    <w:rsid w:val="12E82447"/>
    <w:rsid w:val="1757297B"/>
    <w:rsid w:val="17904F07"/>
    <w:rsid w:val="1BE53C55"/>
    <w:rsid w:val="1C4B385F"/>
    <w:rsid w:val="1D3339A2"/>
    <w:rsid w:val="1D705B83"/>
    <w:rsid w:val="1DC45CF8"/>
    <w:rsid w:val="200B6B8F"/>
    <w:rsid w:val="20E05EEB"/>
    <w:rsid w:val="20E53170"/>
    <w:rsid w:val="21304ABA"/>
    <w:rsid w:val="214527A2"/>
    <w:rsid w:val="215266B3"/>
    <w:rsid w:val="2B245D59"/>
    <w:rsid w:val="2BD34776"/>
    <w:rsid w:val="2E866A59"/>
    <w:rsid w:val="2ED55A15"/>
    <w:rsid w:val="303C2266"/>
    <w:rsid w:val="34FF05E4"/>
    <w:rsid w:val="35EB10BB"/>
    <w:rsid w:val="361A2A07"/>
    <w:rsid w:val="3624703A"/>
    <w:rsid w:val="3A666A73"/>
    <w:rsid w:val="3A9939CE"/>
    <w:rsid w:val="3B08650B"/>
    <w:rsid w:val="3B7966DB"/>
    <w:rsid w:val="3C126BB1"/>
    <w:rsid w:val="3C2719F5"/>
    <w:rsid w:val="3C4A1DD4"/>
    <w:rsid w:val="3DC6402D"/>
    <w:rsid w:val="40B43B7F"/>
    <w:rsid w:val="4137297C"/>
    <w:rsid w:val="41AC3F01"/>
    <w:rsid w:val="42C32CE5"/>
    <w:rsid w:val="42D66637"/>
    <w:rsid w:val="45A81D80"/>
    <w:rsid w:val="464E5040"/>
    <w:rsid w:val="48814D05"/>
    <w:rsid w:val="48941FD3"/>
    <w:rsid w:val="48B644FE"/>
    <w:rsid w:val="4A4932E1"/>
    <w:rsid w:val="4B465702"/>
    <w:rsid w:val="4BAA44F6"/>
    <w:rsid w:val="4E633B72"/>
    <w:rsid w:val="51CB3FCC"/>
    <w:rsid w:val="530B43BC"/>
    <w:rsid w:val="532A5D55"/>
    <w:rsid w:val="5352721A"/>
    <w:rsid w:val="55B56875"/>
    <w:rsid w:val="575C32B1"/>
    <w:rsid w:val="5AE25EEB"/>
    <w:rsid w:val="5D6800CD"/>
    <w:rsid w:val="5F0B5674"/>
    <w:rsid w:val="5F2D6CF3"/>
    <w:rsid w:val="635271FD"/>
    <w:rsid w:val="66F012EF"/>
    <w:rsid w:val="6712306F"/>
    <w:rsid w:val="67DB3A28"/>
    <w:rsid w:val="68002E31"/>
    <w:rsid w:val="684E46F7"/>
    <w:rsid w:val="69943DFB"/>
    <w:rsid w:val="6C3C0E97"/>
    <w:rsid w:val="6D7858EA"/>
    <w:rsid w:val="6E051B04"/>
    <w:rsid w:val="6EF5168F"/>
    <w:rsid w:val="6F1226C8"/>
    <w:rsid w:val="71060FA6"/>
    <w:rsid w:val="712F4C6E"/>
    <w:rsid w:val="7239781A"/>
    <w:rsid w:val="788647C7"/>
    <w:rsid w:val="79FC1621"/>
    <w:rsid w:val="7A392E76"/>
    <w:rsid w:val="7C30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apple-converted-space"/>
    <w:basedOn w:val="9"/>
    <w:qFormat/>
    <w:uiPriority w:val="0"/>
  </w:style>
  <w:style w:type="paragraph" w:customStyle="1" w:styleId="15">
    <w:name w:val="列出段落11"/>
    <w:basedOn w:val="1"/>
    <w:qFormat/>
    <w:uiPriority w:val="0"/>
    <w:pPr>
      <w:ind w:firstLine="420" w:firstLineChars="200"/>
    </w:pPr>
    <w:rPr>
      <w:rFonts w:ascii="Calibri" w:hAnsi="Calibri" w:eastAsia="宋体" w:cs="Times New Roman"/>
    </w:rPr>
  </w:style>
  <w:style w:type="character" w:customStyle="1" w:styleId="16">
    <w:name w:val="批注框文本 Char"/>
    <w:basedOn w:val="9"/>
    <w:link w:val="3"/>
    <w:semiHidden/>
    <w:qFormat/>
    <w:uiPriority w:val="99"/>
    <w:rPr>
      <w:sz w:val="18"/>
      <w:szCs w:val="18"/>
    </w:rPr>
  </w:style>
  <w:style w:type="character" w:customStyle="1" w:styleId="17">
    <w:name w:val="批注文字 Char"/>
    <w:basedOn w:val="9"/>
    <w:link w:val="2"/>
    <w:semiHidden/>
    <w:qFormat/>
    <w:uiPriority w:val="99"/>
  </w:style>
  <w:style w:type="character" w:customStyle="1" w:styleId="18">
    <w:name w:val="批注主题 Char"/>
    <w:basedOn w:val="17"/>
    <w:link w:val="7"/>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4</Pages>
  <Words>489</Words>
  <Characters>2792</Characters>
  <Lines>23</Lines>
  <Paragraphs>6</Paragraphs>
  <TotalTime>26</TotalTime>
  <ScaleCrop>false</ScaleCrop>
  <LinksUpToDate>false</LinksUpToDate>
  <CharactersWithSpaces>3275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2024-12-16T09:45:00Z</dcterms:created>
  <dc:creator>黄维杰</dc:creator>
  <cp:lastModifiedBy>xieruihan</cp:lastModifiedBy>
  <dcterms:modified xsi:type="dcterms:W3CDTF">2025-06-13T10:37:18Z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03FCE4AA7D744EF8948C46A7A942E648</vt:lpwstr>
  </property>
</Properties>
</file>