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240" w:line="360" w:lineRule="auto"/>
        <w:ind w:firstLine="480"/>
        <w:jc w:val="right"/>
        <w:rPr>
          <w:rFonts w:ascii="仿宋" w:hAnsi="仿宋"/>
        </w:rPr>
      </w:pPr>
      <w:bookmarkStart w:id="54" w:name="_GoBack"/>
      <w:bookmarkEnd w:id="54"/>
    </w:p>
    <w:p>
      <w:pPr>
        <w:spacing w:before="156" w:after="240" w:line="360" w:lineRule="auto"/>
        <w:ind w:firstLine="480"/>
        <w:jc w:val="right"/>
        <w:rPr>
          <w:rFonts w:ascii="仿宋" w:hAnsi="仿宋"/>
        </w:rPr>
      </w:pPr>
      <w:r>
        <w:rPr>
          <w:rFonts w:hint="eastAsia" w:ascii="仿宋" w:hAnsi="仿宋"/>
        </w:rPr>
        <w:t xml:space="preserve"> </w:t>
      </w:r>
    </w:p>
    <w:p>
      <w:pPr>
        <w:spacing w:before="156" w:after="240" w:line="360" w:lineRule="auto"/>
        <w:ind w:firstLine="480"/>
        <w:jc w:val="right"/>
        <w:rPr>
          <w:rFonts w:ascii="仿宋" w:hAnsi="仿宋"/>
        </w:rPr>
      </w:pPr>
      <w:r>
        <w:rPr>
          <w:rFonts w:hint="eastAsia" w:ascii="仿宋" w:hAnsi="仿宋"/>
        </w:rPr>
        <w:t xml:space="preserve"> </w:t>
      </w:r>
    </w:p>
    <w:p>
      <w:pPr>
        <w:spacing w:before="156" w:line="360" w:lineRule="auto"/>
        <w:jc w:val="center"/>
        <w:rPr>
          <w:rFonts w:ascii="仿宋" w:hAnsi="仿宋"/>
          <w:bCs/>
          <w:sz w:val="32"/>
          <w:szCs w:val="32"/>
        </w:rPr>
      </w:pPr>
      <w:r>
        <w:rPr>
          <w:rFonts w:hint="eastAsia" w:ascii="仿宋" w:hAnsi="仿宋"/>
          <w:b/>
          <w:sz w:val="32"/>
          <w:szCs w:val="32"/>
        </w:rPr>
        <w:t>中国长城资产管理股份有限公司</w:t>
      </w:r>
      <w:r>
        <w:rPr>
          <w:rFonts w:hint="eastAsia" w:ascii="仿宋" w:hAnsi="仿宋"/>
          <w:b/>
          <w:sz w:val="32"/>
          <w:szCs w:val="32"/>
          <w:lang w:val="en-US" w:eastAsia="zh-CN"/>
        </w:rPr>
        <w:t>海南省</w:t>
      </w:r>
      <w:r>
        <w:rPr>
          <w:rFonts w:hint="eastAsia" w:ascii="仿宋" w:hAnsi="仿宋"/>
          <w:b/>
          <w:sz w:val="32"/>
          <w:szCs w:val="32"/>
        </w:rPr>
        <w:t>分公司</w:t>
      </w:r>
    </w:p>
    <w:p>
      <w:pPr>
        <w:spacing w:before="156" w:line="360" w:lineRule="auto"/>
        <w:jc w:val="center"/>
        <w:rPr>
          <w:rFonts w:ascii="仿宋" w:hAnsi="仿宋"/>
          <w:b/>
          <w:sz w:val="32"/>
          <w:szCs w:val="32"/>
        </w:rPr>
      </w:pPr>
      <w:r>
        <w:rPr>
          <w:rFonts w:hint="eastAsia" w:ascii="仿宋" w:hAnsi="仿宋"/>
          <w:b/>
          <w:sz w:val="32"/>
          <w:szCs w:val="32"/>
        </w:rPr>
        <w:t xml:space="preserve">与          </w:t>
      </w:r>
      <w:r>
        <w:rPr>
          <w:rFonts w:ascii="仿宋" w:hAnsi="仿宋"/>
          <w:b/>
          <w:sz w:val="32"/>
          <w:szCs w:val="32"/>
        </w:rPr>
        <w:t xml:space="preserve">     </w:t>
      </w:r>
      <w:r>
        <w:rPr>
          <w:rFonts w:hint="eastAsia" w:ascii="仿宋" w:hAnsi="仿宋"/>
          <w:sz w:val="36"/>
          <w:szCs w:val="36"/>
          <w:lang w:eastAsia="zh-CN"/>
        </w:rPr>
        <w:t>【</w:t>
      </w:r>
      <w:r>
        <w:rPr>
          <w:rFonts w:hint="eastAsia" w:ascii="仿宋" w:hAnsi="仿宋"/>
          <w:sz w:val="36"/>
          <w:szCs w:val="36"/>
          <w:lang w:val="en-US" w:eastAsia="zh-CN"/>
        </w:rPr>
        <w:t xml:space="preserve">                               </w:t>
      </w:r>
      <w:r>
        <w:rPr>
          <w:rFonts w:hint="eastAsia" w:ascii="仿宋" w:hAnsi="仿宋"/>
          <w:sz w:val="36"/>
          <w:szCs w:val="36"/>
          <w:lang w:eastAsia="zh-CN"/>
        </w:rPr>
        <w:t>】</w:t>
      </w: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bCs/>
          <w:sz w:val="36"/>
          <w:szCs w:val="36"/>
        </w:rPr>
      </w:pPr>
    </w:p>
    <w:p>
      <w:pPr>
        <w:spacing w:before="156" w:line="360" w:lineRule="auto"/>
        <w:jc w:val="center"/>
        <w:rPr>
          <w:rFonts w:ascii="仿宋" w:hAnsi="仿宋"/>
          <w:b/>
          <w:bCs/>
          <w:sz w:val="72"/>
          <w:szCs w:val="72"/>
        </w:rPr>
      </w:pPr>
      <w:r>
        <w:rPr>
          <w:rFonts w:hint="eastAsia" w:ascii="仿宋" w:hAnsi="仿宋"/>
          <w:b/>
          <w:bCs/>
          <w:sz w:val="72"/>
          <w:szCs w:val="72"/>
        </w:rPr>
        <w:t>债权转让协议</w:t>
      </w:r>
    </w:p>
    <w:p>
      <w:pPr>
        <w:spacing w:before="156" w:line="360" w:lineRule="auto"/>
        <w:jc w:val="center"/>
        <w:rPr>
          <w:rFonts w:ascii="仿宋" w:hAnsi="仿宋"/>
          <w:b/>
          <w:sz w:val="32"/>
          <w:szCs w:val="32"/>
        </w:rPr>
      </w:pPr>
      <w:r>
        <w:rPr>
          <w:rFonts w:hint="eastAsia" w:ascii="仿宋" w:hAnsi="仿宋"/>
          <w:b/>
          <w:sz w:val="32"/>
          <w:szCs w:val="32"/>
        </w:rPr>
        <w:t>（竞价方式转让）</w:t>
      </w:r>
    </w:p>
    <w:p>
      <w:pPr>
        <w:spacing w:before="156" w:line="360" w:lineRule="auto"/>
        <w:ind w:firstLine="643"/>
        <w:jc w:val="center"/>
        <w:rPr>
          <w:rFonts w:ascii="仿宋" w:hAnsi="仿宋"/>
          <w:b/>
          <w:bCs/>
          <w:sz w:val="32"/>
          <w:szCs w:val="32"/>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jc w:val="center"/>
        <w:rPr>
          <w:rFonts w:ascii="仿宋" w:hAnsi="仿宋"/>
          <w:sz w:val="28"/>
          <w:szCs w:val="28"/>
        </w:rPr>
      </w:pPr>
      <w:r>
        <w:rPr>
          <w:rFonts w:hint="eastAsia" w:ascii="仿宋" w:hAnsi="仿宋"/>
          <w:b/>
          <w:bCs/>
          <w:sz w:val="28"/>
          <w:szCs w:val="28"/>
        </w:rPr>
        <w:t xml:space="preserve"> </w:t>
      </w:r>
      <w:r>
        <w:rPr>
          <w:rFonts w:ascii="仿宋" w:hAnsi="仿宋"/>
          <w:sz w:val="28"/>
          <w:szCs w:val="28"/>
        </w:rPr>
        <w:t xml:space="preserve">  </w:t>
      </w:r>
    </w:p>
    <w:p>
      <w:pPr>
        <w:jc w:val="center"/>
        <w:rPr>
          <w:rFonts w:hint="eastAsia" w:ascii="仿宋" w:hAnsi="仿宋"/>
        </w:rPr>
      </w:pP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pPr>
        <w:pStyle w:val="2"/>
      </w:pPr>
    </w:p>
    <w:p>
      <w:pPr>
        <w:widowControl/>
        <w:jc w:val="left"/>
        <w:rPr>
          <w:rFonts w:ascii="仿宋" w:hAnsi="仿宋"/>
          <w:b/>
          <w:color w:val="000000"/>
          <w:sz w:val="44"/>
          <w:szCs w:val="44"/>
        </w:rPr>
      </w:pPr>
    </w:p>
    <w:p>
      <w:pPr>
        <w:spacing w:after="240" w:line="380" w:lineRule="atLeast"/>
        <w:ind w:right="480"/>
        <w:jc w:val="center"/>
        <w:rPr>
          <w:rFonts w:ascii="仿宋" w:hAnsi="仿宋"/>
          <w:b/>
          <w:color w:val="000000"/>
          <w:szCs w:val="44"/>
        </w:rPr>
      </w:pPr>
      <w:r>
        <w:rPr>
          <w:rFonts w:hint="eastAsia" w:ascii="仿宋" w:hAnsi="仿宋"/>
          <w:b/>
          <w:color w:val="000000"/>
          <w:sz w:val="44"/>
          <w:szCs w:val="44"/>
        </w:rPr>
        <w:t>债权转让协议</w:t>
      </w:r>
    </w:p>
    <w:p>
      <w:pPr>
        <w:spacing w:after="240" w:line="380" w:lineRule="atLeast"/>
        <w:ind w:right="480"/>
        <w:rPr>
          <w:rFonts w:ascii="仿宋" w:hAnsi="仿宋"/>
          <w:color w:val="000000"/>
        </w:rPr>
      </w:pPr>
    </w:p>
    <w:p>
      <w:pPr>
        <w:snapToGrid w:val="0"/>
        <w:spacing w:before="156" w:beforeLines="50" w:line="360" w:lineRule="auto"/>
        <w:rPr>
          <w:rFonts w:ascii="仿宋" w:hAnsi="仿宋" w:cs="仿宋"/>
        </w:rPr>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日在</w:t>
      </w:r>
      <w:r>
        <w:rPr>
          <w:rFonts w:hint="eastAsia" w:ascii="仿宋" w:hAnsi="仿宋" w:cs="仿宋"/>
          <w:lang w:val="en-US" w:eastAsia="zh-CN"/>
        </w:rPr>
        <w:t>海口</w:t>
      </w:r>
      <w:r>
        <w:rPr>
          <w:rFonts w:hint="eastAsia" w:ascii="仿宋" w:hAnsi="仿宋" w:cs="仿宋"/>
          <w:lang w:eastAsia="zh-Hans"/>
        </w:rPr>
        <w:t>市</w:t>
      </w:r>
      <w:r>
        <w:rPr>
          <w:rFonts w:hint="eastAsia" w:ascii="仿宋" w:hAnsi="仿宋" w:cs="仿宋"/>
          <w:lang w:val="en-US" w:eastAsia="zh-CN"/>
        </w:rPr>
        <w:t>龙华</w:t>
      </w:r>
      <w:r>
        <w:rPr>
          <w:rFonts w:hint="eastAsia" w:ascii="仿宋" w:hAnsi="仿宋" w:cs="仿宋"/>
          <w:lang w:eastAsia="zh-Hans"/>
        </w:rPr>
        <w:t>区</w:t>
      </w:r>
      <w:r>
        <w:rPr>
          <w:rFonts w:hint="eastAsia" w:ascii="仿宋" w:hAnsi="仿宋" w:cs="仿宋"/>
        </w:rPr>
        <w:t>签署。</w:t>
      </w:r>
    </w:p>
    <w:p>
      <w:pPr>
        <w:snapToGrid w:val="0"/>
        <w:spacing w:before="156" w:beforeLines="50" w:after="240" w:line="360" w:lineRule="auto"/>
        <w:ind w:right="480"/>
        <w:rPr>
          <w:rFonts w:ascii="仿宋" w:hAnsi="仿宋" w:cs="仿宋"/>
        </w:rPr>
      </w:pPr>
    </w:p>
    <w:p>
      <w:pPr>
        <w:snapToGrid w:val="0"/>
        <w:spacing w:before="156" w:beforeLines="50" w:line="360" w:lineRule="auto"/>
        <w:rPr>
          <w:rFonts w:ascii="仿宋" w:hAnsi="仿宋" w:cs="仿宋"/>
          <w:b/>
          <w:bCs/>
        </w:rPr>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w:t>
      </w:r>
      <w:r>
        <w:rPr>
          <w:rFonts w:hint="eastAsia" w:ascii="仿宋" w:hAnsi="仿宋" w:cs="仿宋"/>
          <w:b/>
          <w:bCs/>
          <w:lang w:val="en-US" w:eastAsia="zh-CN"/>
        </w:rPr>
        <w:t>海南省</w:t>
      </w:r>
      <w:r>
        <w:rPr>
          <w:rFonts w:hint="eastAsia" w:ascii="仿宋" w:hAnsi="仿宋" w:cs="仿宋"/>
          <w:b/>
          <w:bCs/>
        </w:rPr>
        <w:t>分公司（转让方）</w:t>
      </w:r>
    </w:p>
    <w:p>
      <w:pPr>
        <w:snapToGrid w:val="0"/>
        <w:spacing w:before="156" w:beforeLines="50" w:line="360" w:lineRule="auto"/>
        <w:rPr>
          <w:rFonts w:ascii="仿宋" w:hAnsi="仿宋" w:cs="仿宋"/>
        </w:rPr>
      </w:pPr>
      <w:r>
        <w:rPr>
          <w:rFonts w:hint="eastAsia" w:ascii="仿宋" w:hAnsi="仿宋" w:cs="仿宋"/>
        </w:rPr>
        <w:t>负</w:t>
      </w:r>
      <w:r>
        <w:rPr>
          <w:rFonts w:ascii="仿宋" w:hAnsi="仿宋" w:cs="仿宋"/>
        </w:rPr>
        <w:t xml:space="preserve"> 责 人：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p>
    <w:p>
      <w:pPr>
        <w:tabs>
          <w:tab w:val="left" w:pos="993"/>
          <w:tab w:val="left" w:pos="5812"/>
        </w:tabs>
        <w:snapToGrid w:val="0"/>
        <w:spacing w:before="156" w:beforeLines="50" w:line="360" w:lineRule="auto"/>
        <w:rPr>
          <w:rFonts w:ascii="仿宋" w:hAnsi="仿宋" w:cs="仿宋"/>
          <w:b/>
          <w:bCs/>
        </w:rPr>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r>
        <w:rPr>
          <w:rFonts w:hint="eastAsia" w:ascii="仿宋" w:hAnsi="仿宋" w:cs="仿宋"/>
          <w:b/>
          <w:bCs/>
        </w:rPr>
        <w:t>（受让方）</w:t>
      </w:r>
    </w:p>
    <w:p>
      <w:pPr>
        <w:snapToGrid w:val="0"/>
        <w:spacing w:before="156" w:beforeLines="50" w:line="360" w:lineRule="auto"/>
        <w:rPr>
          <w:rFonts w:ascii="仿宋" w:hAnsi="仿宋" w:cs="仿宋"/>
        </w:rPr>
      </w:pPr>
      <w:r>
        <w:rPr>
          <w:rFonts w:hint="eastAsia" w:ascii="仿宋" w:hAnsi="仿宋" w:cs="仿宋"/>
        </w:rPr>
        <w:t>法定代表人：</w:t>
      </w:r>
      <w:r>
        <w:rPr>
          <w:rFonts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r>
        <w:rPr>
          <w:rFonts w:hint="eastAsia" w:ascii="仿宋" w:hAnsi="仿宋" w:cs="仿宋"/>
        </w:rPr>
        <w:t>（上述主体单称“一方”，合称“双方”）</w:t>
      </w:r>
    </w:p>
    <w:p>
      <w:pPr>
        <w:snapToGrid w:val="0"/>
        <w:spacing w:before="156" w:beforeLines="50" w:line="360" w:lineRule="auto"/>
        <w:jc w:val="left"/>
        <w:rPr>
          <w:rFonts w:ascii="仿宋" w:hAnsi="仿宋" w:cs="仿宋"/>
          <w:color w:val="000000"/>
        </w:rPr>
      </w:pPr>
    </w:p>
    <w:p>
      <w:pPr>
        <w:snapToGrid w:val="0"/>
        <w:spacing w:before="156" w:beforeLines="50" w:line="360" w:lineRule="auto"/>
        <w:rPr>
          <w:rFonts w:ascii="仿宋" w:hAnsi="仿宋" w:cs="仿宋"/>
          <w:b/>
          <w:color w:val="000000"/>
        </w:rPr>
      </w:pPr>
      <w:r>
        <w:rPr>
          <w:rFonts w:hint="eastAsia" w:ascii="仿宋" w:hAnsi="仿宋" w:cs="仿宋"/>
          <w:b/>
          <w:color w:val="000000"/>
        </w:rPr>
        <w:t>鉴于：</w:t>
      </w:r>
    </w:p>
    <w:p>
      <w:pPr>
        <w:snapToGrid w:val="0"/>
        <w:spacing w:before="156" w:beforeLines="50" w:line="360" w:lineRule="auto"/>
        <w:ind w:firstLine="480" w:firstLineChars="200"/>
        <w:rPr>
          <w:rFonts w:ascii="仿宋" w:hAnsi="仿宋" w:cs="仿宋"/>
        </w:rPr>
      </w:pPr>
      <w:r>
        <w:rPr>
          <w:rFonts w:ascii="仿宋" w:hAnsi="仿宋" w:cs="仿宋"/>
        </w:rPr>
        <w:t>1、</w:t>
      </w:r>
      <w:r>
        <w:rPr>
          <w:rFonts w:hint="eastAsia" w:ascii="仿宋" w:hAnsi="仿宋" w:cs="仿宋"/>
        </w:rPr>
        <w:t>甲方作为国有金融资产管理股份有限公司的分支机构，依法享有本协议附件一《标的债权明细表》项下的标的债权（见本协议第1.3条定义），甲方根据相关法律法规的规定，采取招标/竞价/协议转让方式处置该标的债权；甲方享有的标的债权在性质上为不良属性，存在部分或全部不能回收的风险。</w:t>
      </w:r>
    </w:p>
    <w:p>
      <w:pPr>
        <w:snapToGrid w:val="0"/>
        <w:spacing w:before="156" w:beforeLines="50" w:line="360" w:lineRule="auto"/>
        <w:ind w:firstLine="480" w:firstLineChars="200"/>
        <w:rPr>
          <w:rFonts w:ascii="仿宋" w:hAnsi="仿宋" w:cs="仿宋"/>
          <w:b/>
          <w:bCs/>
        </w:rPr>
      </w:pPr>
      <w:r>
        <w:rPr>
          <w:rFonts w:ascii="仿宋" w:hAnsi="仿宋" w:cs="仿宋"/>
        </w:rPr>
        <w:t>2、</w:t>
      </w:r>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凭借其承诺的价格等交易条件，被甲方确认为本次标的债权招标/竞价/协议转让的中标人/买受人</w:t>
      </w:r>
      <w:r>
        <w:rPr>
          <w:rFonts w:hint="eastAsia" w:ascii="仿宋" w:hAnsi="仿宋" w:cs="仿宋"/>
        </w:rPr>
        <w:t>。</w:t>
      </w:r>
    </w:p>
    <w:p>
      <w:pPr>
        <w:snapToGrid w:val="0"/>
        <w:spacing w:before="156" w:beforeLines="50" w:line="360" w:lineRule="auto"/>
        <w:ind w:firstLine="482" w:firstLineChars="200"/>
        <w:rPr>
          <w:rFonts w:ascii="仿宋" w:hAnsi="仿宋" w:cs="仿宋"/>
          <w:b/>
          <w:bCs/>
        </w:rPr>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招标/竞价/协议转让活动</w:t>
      </w:r>
      <w:r>
        <w:rPr>
          <w:rFonts w:hint="eastAsia" w:ascii="仿宋" w:hAnsi="仿宋" w:cs="仿宋"/>
          <w:b/>
          <w:bCs/>
        </w:rPr>
        <w:t>。</w:t>
      </w:r>
    </w:p>
    <w:p>
      <w:pPr>
        <w:snapToGrid w:val="0"/>
        <w:spacing w:before="156" w:beforeLines="50" w:line="360" w:lineRule="auto"/>
        <w:ind w:firstLine="482" w:firstLineChars="200"/>
        <w:rPr>
          <w:rFonts w:ascii="仿宋" w:hAnsi="仿宋" w:cs="仿宋"/>
          <w:b/>
          <w:bCs/>
        </w:rPr>
      </w:pPr>
      <w:r>
        <w:rPr>
          <w:rFonts w:ascii="仿宋" w:hAnsi="仿宋" w:cs="仿宋"/>
          <w:b/>
          <w:bCs/>
        </w:rPr>
        <w:t>4、乙方声明并保证，乙方自愿独立承担标的债权的瑕疵和预期利益无法实现的风险，乙方保证不因任何原因主张协议无效或要求撤销本协议或要求甲方回购</w:t>
      </w:r>
      <w:bookmarkStart w:id="0" w:name="_Hlk116291920"/>
      <w:r>
        <w:rPr>
          <w:rFonts w:hint="eastAsia" w:ascii="仿宋" w:hAnsi="仿宋" w:cs="仿宋"/>
          <w:b/>
          <w:bCs/>
        </w:rPr>
        <w:t>标的债权</w:t>
      </w:r>
      <w:r>
        <w:rPr>
          <w:rFonts w:ascii="仿宋" w:hAnsi="仿宋" w:cs="仿宋"/>
          <w:b/>
          <w:bCs/>
        </w:rPr>
        <w:t>或要求甲方</w:t>
      </w:r>
      <w:bookmarkEnd w:id="0"/>
      <w:r>
        <w:rPr>
          <w:rFonts w:ascii="仿宋" w:hAnsi="仿宋" w:cs="仿宋"/>
          <w:b/>
          <w:bCs/>
        </w:rPr>
        <w:t>承担赔偿责任。</w:t>
      </w:r>
    </w:p>
    <w:p>
      <w:pPr>
        <w:snapToGrid w:val="0"/>
        <w:spacing w:before="156" w:beforeLines="50" w:line="360" w:lineRule="auto"/>
        <w:ind w:firstLine="480" w:firstLineChars="200"/>
        <w:rPr>
          <w:rFonts w:ascii="仿宋" w:hAnsi="仿宋" w:cs="仿宋"/>
        </w:rPr>
      </w:pPr>
    </w:p>
    <w:p>
      <w:pPr>
        <w:snapToGrid w:val="0"/>
        <w:spacing w:before="156" w:beforeLines="50" w:line="360" w:lineRule="auto"/>
        <w:ind w:firstLine="480" w:firstLineChars="200"/>
        <w:rPr>
          <w:rFonts w:ascii="仿宋" w:hAnsi="仿宋" w:cs="仿宋"/>
          <w:color w:val="000000"/>
        </w:rPr>
      </w:pPr>
      <w:r>
        <w:rPr>
          <w:rFonts w:hint="eastAsia" w:ascii="仿宋" w:hAnsi="仿宋" w:cs="仿宋"/>
        </w:rPr>
        <w:t>在此基础上，根据《中华人民共和国民法典》等相关法律法规的规定，为进一步明确双方的权利义务关系，甲乙双方在平等自愿、友好协商的基础上，就标的债权转让相关的事宜达成如下协议，供双方共同遵守。</w:t>
      </w:r>
    </w:p>
    <w:p>
      <w:pPr>
        <w:pStyle w:val="3"/>
        <w:numPr>
          <w:ilvl w:val="255"/>
          <w:numId w:val="0"/>
        </w:numPr>
        <w:snapToGrid w:val="0"/>
        <w:spacing w:before="156" w:beforeLines="50" w:line="360" w:lineRule="auto"/>
        <w:ind w:firstLine="482" w:firstLineChars="200"/>
      </w:pPr>
      <w:r>
        <w:rPr>
          <w:rFonts w:hint="eastAsia"/>
        </w:rPr>
        <w:t>第一条</w:t>
      </w:r>
      <w:r>
        <w:t xml:space="preserve">  </w:t>
      </w:r>
      <w:r>
        <w:rPr>
          <w:rFonts w:hint="eastAsia"/>
        </w:rPr>
        <w:t>定义</w:t>
      </w:r>
    </w:p>
    <w:p>
      <w:pPr>
        <w:snapToGrid w:val="0"/>
        <w:spacing w:before="156" w:beforeLines="50" w:line="360" w:lineRule="auto"/>
        <w:ind w:firstLine="470" w:firstLineChars="196"/>
        <w:rPr>
          <w:rFonts w:ascii="仿宋" w:hAnsi="仿宋" w:cs="仿宋"/>
        </w:rPr>
      </w:pPr>
      <w:r>
        <w:rPr>
          <w:rFonts w:hint="eastAsia" w:ascii="仿宋" w:hAnsi="仿宋" w:cs="仿宋"/>
        </w:rPr>
        <w:t>在本协议中，除非上下文另有解释或文义另作说明，下列用语具有以下所规定之含义：</w:t>
      </w:r>
    </w:p>
    <w:p>
      <w:pPr>
        <w:snapToGrid w:val="0"/>
        <w:spacing w:before="156" w:beforeLines="50" w:line="360" w:lineRule="auto"/>
        <w:ind w:firstLine="470" w:firstLineChars="196"/>
        <w:rPr>
          <w:rFonts w:ascii="仿宋" w:hAnsi="仿宋" w:cs="仿宋"/>
        </w:rPr>
      </w:pPr>
      <w:r>
        <w:rPr>
          <w:rFonts w:ascii="仿宋" w:hAnsi="仿宋" w:cs="仿宋"/>
        </w:rPr>
        <w:t xml:space="preserve">1.1 </w:t>
      </w:r>
      <w:r>
        <w:rPr>
          <w:rFonts w:hint="eastAsia" w:ascii="仿宋" w:hAnsi="仿宋" w:cs="仿宋"/>
          <w:b/>
        </w:rPr>
        <w:t>主债权</w:t>
      </w:r>
      <w:r>
        <w:rPr>
          <w:rFonts w:hint="eastAsia" w:ascii="仿宋" w:hAnsi="仿宋" w:cs="仿宋"/>
        </w:rPr>
        <w:t>，指甲方对债务人</w:t>
      </w:r>
      <w:r>
        <w:rPr>
          <w:rFonts w:hint="eastAsia" w:ascii="仿宋" w:hAnsi="仿宋" w:cs="仿宋"/>
          <w:lang w:val="en-US" w:eastAsia="zh-CN"/>
        </w:rPr>
        <w:t>海南阳光美基投资开发有限公司</w:t>
      </w:r>
      <w:r>
        <w:rPr>
          <w:rFonts w:hint="eastAsia" w:ascii="仿宋" w:hAnsi="仿宋" w:cs="仿宋"/>
        </w:rPr>
        <w:t>享有的并依法可向乙方转让的贷款本金及利息（含利息、罚息、复利）、违约金、赔偿金以及实现债权费用、代债务人垫付费用</w:t>
      </w:r>
      <w:r>
        <w:t>。</w:t>
      </w:r>
    </w:p>
    <w:p>
      <w:pPr>
        <w:snapToGrid w:val="0"/>
        <w:spacing w:before="156" w:beforeLines="50" w:line="360" w:lineRule="auto"/>
        <w:ind w:firstLine="470" w:firstLineChars="196"/>
        <w:rPr>
          <w:rFonts w:ascii="仿宋" w:hAnsi="仿宋" w:cs="仿宋"/>
        </w:rPr>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指与主债权相关的保证债权、抵押权、质权、差额补足、让与担保等附属权利。</w:t>
      </w:r>
    </w:p>
    <w:p>
      <w:pPr>
        <w:snapToGrid w:val="0"/>
        <w:spacing w:before="156" w:beforeLines="50" w:line="360" w:lineRule="auto"/>
        <w:ind w:firstLine="470" w:firstLineChars="196"/>
        <w:rPr>
          <w:rFonts w:ascii="仿宋" w:hAnsi="仿宋" w:cs="仿宋"/>
        </w:rPr>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未实现主债权、担保权利以及由此派生或与此相关的其他权益。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w:t>
      </w:r>
      <w:r>
        <w:rPr>
          <w:rFonts w:ascii="仿宋" w:hAnsi="仿宋" w:cs="仿宋"/>
        </w:rPr>
        <w:t>但不包括法院</w:t>
      </w:r>
      <w:r>
        <w:rPr>
          <w:rFonts w:hint="eastAsia" w:ascii="仿宋" w:hAnsi="仿宋" w:cs="仿宋"/>
        </w:rPr>
        <w:t>/仲裁机构</w:t>
      </w:r>
      <w:r>
        <w:rPr>
          <w:rFonts w:ascii="仿宋" w:hAnsi="仿宋" w:cs="仿宋"/>
        </w:rPr>
        <w:t>退回的甲方及其前手交纳的诉讼</w:t>
      </w:r>
      <w:r>
        <w:rPr>
          <w:rFonts w:hint="eastAsia" w:ascii="仿宋" w:hAnsi="仿宋" w:cs="仿宋"/>
        </w:rPr>
        <w:t>/仲裁</w:t>
      </w:r>
      <w:r>
        <w:rPr>
          <w:rFonts w:ascii="仿宋" w:hAnsi="仿宋" w:cs="仿宋"/>
        </w:rPr>
        <w:t>费用</w:t>
      </w:r>
      <w:r>
        <w:rPr>
          <w:rFonts w:hint="eastAsia" w:ascii="仿宋" w:hAnsi="仿宋" w:cs="仿宋"/>
        </w:rPr>
        <w:t>等实现债权</w:t>
      </w:r>
      <w:r>
        <w:rPr>
          <w:rFonts w:ascii="仿宋" w:hAnsi="仿宋" w:cs="仿宋"/>
        </w:rPr>
        <w:t>费用。标的债权可能还包括已经超过主张权利法定期限的自然债权、对破产终结企业的债权以及其他形式的债权。</w:t>
      </w:r>
    </w:p>
    <w:p>
      <w:pPr>
        <w:snapToGrid w:val="0"/>
        <w:spacing w:before="156" w:beforeLines="50" w:line="360" w:lineRule="auto"/>
        <w:ind w:firstLine="472" w:firstLineChars="196"/>
        <w:rPr>
          <w:rFonts w:ascii="仿宋" w:hAnsi="仿宋" w:cs="仿宋"/>
        </w:rPr>
      </w:pPr>
      <w:r>
        <w:rPr>
          <w:rFonts w:hint="eastAsia" w:ascii="仿宋" w:hAnsi="仿宋" w:cs="仿宋"/>
          <w:b/>
          <w:bCs/>
        </w:rPr>
        <w:t>甲方特别声明：尚未过户抵债资产，如甲方已抵偿对应的债权，则已经抵偿的债权及该等抵债资产不属于本协议项下的标的债权</w:t>
      </w:r>
      <w:r>
        <w:rPr>
          <w:rFonts w:hint="eastAsia" w:ascii="仿宋" w:hAnsi="仿宋" w:cs="仿宋"/>
        </w:rPr>
        <w:t>。</w:t>
      </w:r>
    </w:p>
    <w:p>
      <w:pPr>
        <w:snapToGrid w:val="0"/>
        <w:spacing w:before="156" w:beforeLines="50" w:line="360" w:lineRule="auto"/>
        <w:ind w:firstLine="470" w:firstLineChars="196"/>
        <w:rPr>
          <w:rFonts w:ascii="仿宋" w:hAnsi="仿宋" w:cs="仿宋"/>
        </w:rPr>
      </w:pPr>
      <w:r>
        <w:rPr>
          <w:rFonts w:ascii="仿宋" w:hAnsi="仿宋" w:cs="仿宋"/>
          <w:color w:val="000000"/>
        </w:rPr>
        <w:t>1.4</w:t>
      </w:r>
      <w:r>
        <w:rPr>
          <w:rFonts w:ascii="仿宋" w:hAnsi="仿宋" w:cs="仿宋"/>
        </w:rPr>
        <w:t xml:space="preserve"> </w:t>
      </w:r>
      <w:r>
        <w:rPr>
          <w:rFonts w:hint="eastAsia" w:ascii="仿宋" w:hAnsi="仿宋" w:cs="仿宋"/>
          <w:b/>
        </w:rPr>
        <w:t>转让价款</w:t>
      </w:r>
      <w:r>
        <w:rPr>
          <w:rFonts w:hint="eastAsia" w:ascii="仿宋" w:hAnsi="仿宋" w:cs="仿宋"/>
        </w:rPr>
        <w:t>，指乙方受让标的债权所应支付的价款。</w:t>
      </w:r>
    </w:p>
    <w:p>
      <w:pPr>
        <w:snapToGrid w:val="0"/>
        <w:spacing w:before="156" w:beforeLines="50" w:line="360" w:lineRule="auto"/>
        <w:ind w:firstLine="470" w:firstLineChars="196"/>
        <w:rPr>
          <w:rFonts w:ascii="仿宋" w:hAnsi="仿宋" w:cs="仿宋"/>
        </w:rPr>
      </w:pPr>
      <w:r>
        <w:rPr>
          <w:rFonts w:ascii="仿宋" w:hAnsi="仿宋" w:cs="仿宋"/>
        </w:rPr>
        <w:t xml:space="preserve">1.5 </w:t>
      </w:r>
      <w:r>
        <w:rPr>
          <w:rFonts w:hint="eastAsia" w:ascii="仿宋" w:hAnsi="仿宋" w:cs="仿宋"/>
          <w:b/>
        </w:rPr>
        <w:t>标的债权证明文件</w:t>
      </w:r>
      <w:r>
        <w:rPr>
          <w:rFonts w:ascii="仿宋" w:hAnsi="仿宋" w:cs="仿宋"/>
          <w:bCs/>
        </w:rPr>
        <w:t>,</w:t>
      </w:r>
      <w:r>
        <w:rPr>
          <w:rFonts w:hint="eastAsia" w:ascii="仿宋" w:hAnsi="仿宋" w:cs="仿宋"/>
        </w:rPr>
        <w:t>指甲方在基准日实际持有的、且将于交割日</w:t>
      </w:r>
      <w:r>
        <w:rPr>
          <w:rFonts w:hint="eastAsia" w:ascii="仿宋" w:hAnsi="仿宋" w:cs="仿宋"/>
          <w:lang w:eastAsia="zh-Hans"/>
        </w:rPr>
        <w:t>现状</w:t>
      </w:r>
      <w:r>
        <w:rPr>
          <w:rFonts w:hint="eastAsia" w:ascii="仿宋" w:hAnsi="仿宋" w:cs="仿宋"/>
        </w:rPr>
        <w:t>移交给乙方的，与主张和行使标的债权有关的法律文件（见附件二《标的债权证明文件清单》），但甲方向乙方提供的标的债权证明文件以其预先披露并在交割日继续持有的全部法律文件为限，甲方未对标的债权证明文件的真实性、完整性、准确性做出任何保证或承诺，且不保证所有复印件均具有原件。</w:t>
      </w:r>
    </w:p>
    <w:p>
      <w:pPr>
        <w:snapToGrid w:val="0"/>
        <w:spacing w:before="156" w:beforeLines="50" w:line="360" w:lineRule="auto"/>
        <w:ind w:firstLine="480" w:firstLineChars="200"/>
        <w:rPr>
          <w:rFonts w:ascii="仿宋" w:hAnsi="仿宋" w:cs="仿宋"/>
        </w:rPr>
      </w:pPr>
      <w:r>
        <w:rPr>
          <w:rFonts w:ascii="仿宋" w:hAnsi="仿宋" w:cs="仿宋"/>
          <w:bCs/>
        </w:rPr>
        <w:t>1.6</w:t>
      </w:r>
      <w:r>
        <w:rPr>
          <w:rFonts w:ascii="仿宋" w:hAnsi="仿宋" w:cs="仿宋"/>
          <w:b/>
        </w:rPr>
        <w:t xml:space="preserve">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指甲方确定且为乙方认可的计算标的债权项下主债权本金、利息余额的截止日，即</w:t>
      </w:r>
      <w:r>
        <w:rPr>
          <w:rFonts w:hint="eastAsia" w:ascii="仿宋" w:hAnsi="仿宋" w:cs="仿宋"/>
          <w:lang w:val="en-US" w:eastAsia="zh-CN"/>
        </w:rPr>
        <w:t>2025</w:t>
      </w:r>
      <w:r>
        <w:rPr>
          <w:rFonts w:hint="eastAsia" w:ascii="仿宋" w:hAnsi="仿宋" w:cs="仿宋"/>
        </w:rPr>
        <w:t>年</w:t>
      </w:r>
      <w:r>
        <w:rPr>
          <w:rFonts w:hint="eastAsia" w:ascii="仿宋" w:hAnsi="仿宋" w:cs="仿宋"/>
          <w:lang w:val="en-US" w:eastAsia="zh-CN"/>
        </w:rPr>
        <w:t>3</w:t>
      </w:r>
      <w:r>
        <w:rPr>
          <w:rFonts w:hint="eastAsia" w:ascii="仿宋" w:hAnsi="仿宋" w:cs="仿宋"/>
        </w:rPr>
        <w:t>月</w:t>
      </w:r>
      <w:r>
        <w:rPr>
          <w:rFonts w:hint="eastAsia" w:ascii="仿宋" w:hAnsi="仿宋" w:cs="仿宋"/>
          <w:lang w:val="en-US" w:eastAsia="zh-CN"/>
        </w:rPr>
        <w:t>31</w:t>
      </w:r>
      <w:r>
        <w:rPr>
          <w:rFonts w:hint="eastAsia" w:ascii="仿宋" w:hAnsi="仿宋" w:cs="仿宋"/>
        </w:rPr>
        <w:t>日。</w:t>
      </w:r>
    </w:p>
    <w:p>
      <w:pPr>
        <w:snapToGrid w:val="0"/>
        <w:spacing w:before="156" w:beforeLines="50" w:line="360" w:lineRule="auto"/>
        <w:ind w:firstLine="470" w:firstLineChars="196"/>
        <w:rPr>
          <w:rFonts w:ascii="仿宋" w:hAnsi="仿宋" w:cs="仿宋"/>
          <w:color w:val="000000"/>
        </w:rPr>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指乙方在招标</w:t>
      </w:r>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p>
      <w:pPr>
        <w:snapToGrid w:val="0"/>
        <w:spacing w:before="156" w:beforeLines="50" w:line="360" w:lineRule="auto"/>
        <w:ind w:firstLine="470" w:firstLineChars="196"/>
        <w:rPr>
          <w:rFonts w:ascii="仿宋" w:hAnsi="仿宋" w:cs="仿宋"/>
        </w:rPr>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snapToGrid w:val="0"/>
        <w:spacing w:before="156" w:beforeLines="50" w:line="360" w:lineRule="auto"/>
        <w:ind w:firstLine="470" w:firstLineChars="196"/>
        <w:rPr>
          <w:rFonts w:ascii="仿宋" w:hAnsi="仿宋" w:cs="仿宋"/>
        </w:rPr>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指自基准日（不含本日）起至交割日（含本日）止的期间。</w:t>
      </w:r>
    </w:p>
    <w:p>
      <w:pPr>
        <w:snapToGrid w:val="0"/>
        <w:spacing w:before="156" w:beforeLines="50" w:line="360" w:lineRule="auto"/>
        <w:ind w:firstLine="470" w:firstLineChars="196"/>
        <w:rPr>
          <w:rFonts w:ascii="仿宋" w:hAnsi="仿宋" w:cs="仿宋"/>
        </w:rPr>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等以协议方式或通过法院抵偿所欠甲方相应债务且未办理完毕产权过户登记的不动产、土地使用权、知识产权等，以及过渡期内，经协议或裁定方式抵偿所欠甲方相应债务的资产。</w:t>
      </w:r>
    </w:p>
    <w:p>
      <w:pPr>
        <w:snapToGrid w:val="0"/>
        <w:spacing w:before="156" w:beforeLines="50" w:line="360" w:lineRule="auto"/>
        <w:ind w:firstLine="470" w:firstLineChars="196"/>
        <w:rPr>
          <w:rFonts w:ascii="仿宋" w:hAnsi="仿宋" w:cs="仿宋"/>
        </w:rPr>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指甲方在过渡期内管理、维护、处置标的债权实际发生并在交割时由乙方承担一切费用。包括但不限于以下内容：（</w:t>
      </w:r>
      <w:r>
        <w:rPr>
          <w:rFonts w:ascii="仿宋" w:hAnsi="仿宋" w:cs="仿宋"/>
        </w:rPr>
        <w:t>1）在对债务人或其他义务人的</w:t>
      </w:r>
      <w:r>
        <w:rPr>
          <w:rFonts w:hint="eastAsia" w:ascii="仿宋" w:hAnsi="仿宋" w:cs="仿宋"/>
        </w:rPr>
        <w:t>公证、</w:t>
      </w:r>
      <w:r>
        <w:rPr>
          <w:rFonts w:ascii="仿宋" w:hAnsi="仿宋" w:cs="仿宋"/>
        </w:rPr>
        <w:t>诉讼或仲裁以及财产保全、</w:t>
      </w:r>
      <w:r>
        <w:rPr>
          <w:rFonts w:hint="eastAsia" w:ascii="仿宋" w:hAnsi="仿宋" w:cs="仿宋"/>
        </w:rPr>
        <w:t>强制执行公证、</w:t>
      </w:r>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r>
        <w:rPr>
          <w:rFonts w:hint="eastAsia" w:ascii="仿宋" w:hAnsi="仿宋" w:cs="仿宋"/>
        </w:rPr>
        <w:t>，包括不限于差旅费等</w:t>
      </w:r>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p>
    <w:p>
      <w:pPr>
        <w:snapToGrid w:val="0"/>
        <w:spacing w:before="156" w:beforeLines="50" w:line="360" w:lineRule="auto"/>
        <w:ind w:firstLine="470" w:firstLineChars="196"/>
        <w:rPr>
          <w:rFonts w:ascii="仿宋" w:hAnsi="仿宋" w:cs="仿宋"/>
        </w:rPr>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8.3</w:t>
      </w:r>
      <w:r>
        <w:rPr>
          <w:rFonts w:hint="eastAsia" w:ascii="仿宋" w:hAnsi="仿宋" w:cs="仿宋"/>
        </w:rPr>
        <w:t>条约定</w:t>
      </w:r>
      <w:r>
        <w:rPr>
          <w:rFonts w:ascii="仿宋" w:hAnsi="仿宋" w:cs="仿宋"/>
        </w:rPr>
        <w:t>收取的对标的债权提供过渡期服务的报酬。</w:t>
      </w:r>
    </w:p>
    <w:p>
      <w:pPr>
        <w:snapToGrid w:val="0"/>
        <w:spacing w:before="156" w:beforeLines="50" w:line="360" w:lineRule="auto"/>
        <w:ind w:firstLine="470" w:firstLineChars="196"/>
        <w:rPr>
          <w:rFonts w:ascii="仿宋" w:hAnsi="仿宋" w:cs="仿宋"/>
        </w:rPr>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snapToGrid w:val="0"/>
        <w:spacing w:before="156" w:beforeLines="50" w:line="360" w:lineRule="auto"/>
        <w:ind w:firstLine="470" w:firstLineChars="196"/>
        <w:rPr>
          <w:rFonts w:ascii="仿宋" w:hAnsi="仿宋" w:cs="仿宋"/>
        </w:rPr>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snapToGrid w:val="0"/>
        <w:spacing w:before="156" w:beforeLines="50" w:line="360" w:lineRule="auto"/>
        <w:ind w:firstLine="470" w:firstLineChars="196"/>
        <w:rPr>
          <w:rFonts w:ascii="仿宋" w:hAnsi="仿宋" w:cs="仿宋"/>
        </w:rPr>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snapToGrid w:val="0"/>
        <w:spacing w:before="156" w:beforeLines="50" w:line="360" w:lineRule="auto"/>
        <w:ind w:firstLine="470" w:firstLineChars="196"/>
        <w:rPr>
          <w:rFonts w:ascii="仿宋" w:hAnsi="仿宋" w:cs="仿宋"/>
        </w:rPr>
      </w:pPr>
      <w:r>
        <w:rPr>
          <w:rFonts w:ascii="仿宋" w:hAnsi="仿宋" w:cs="仿宋"/>
        </w:rPr>
        <w:t>1.16</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1" w:name="_Hlk136864385"/>
      <w:r>
        <w:rPr>
          <w:rFonts w:hint="eastAsia" w:ascii="仿宋" w:hAnsi="仿宋" w:cs="仿宋"/>
        </w:rPr>
        <w:t>、行政机关</w:t>
      </w:r>
      <w:bookmarkEnd w:id="1"/>
      <w:r>
        <w:rPr>
          <w:rFonts w:ascii="仿宋" w:hAnsi="仿宋" w:cs="仿宋"/>
        </w:rPr>
        <w:t>等有权机关采取查封、冻结等限制措施或涉及相关争议案件。</w:t>
      </w:r>
    </w:p>
    <w:p>
      <w:pPr>
        <w:snapToGrid w:val="0"/>
        <w:spacing w:before="156" w:beforeLines="50" w:line="360" w:lineRule="auto"/>
        <w:ind w:firstLine="470" w:firstLineChars="196"/>
        <w:rPr>
          <w:rFonts w:ascii="仿宋" w:hAnsi="仿宋" w:cs="仿宋"/>
          <w:lang w:eastAsia="zh-Hans"/>
        </w:rPr>
      </w:pPr>
      <w:r>
        <w:rPr>
          <w:rFonts w:ascii="仿宋" w:hAnsi="仿宋" w:cs="仿宋"/>
        </w:rPr>
        <w:t xml:space="preserve">1.17 </w:t>
      </w:r>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p>
    <w:p>
      <w:pPr>
        <w:snapToGrid w:val="0"/>
        <w:spacing w:before="156" w:beforeLines="50" w:line="360" w:lineRule="auto"/>
        <w:ind w:firstLine="470" w:firstLineChars="196"/>
        <w:rPr>
          <w:rFonts w:ascii="仿宋" w:hAnsi="仿宋" w:cs="仿宋"/>
        </w:rPr>
      </w:pPr>
      <w:r>
        <w:rPr>
          <w:rFonts w:ascii="仿宋" w:hAnsi="仿宋" w:cs="仿宋"/>
        </w:rPr>
        <w:t>1.18</w:t>
      </w:r>
      <w:r>
        <w:rPr>
          <w:rFonts w:ascii="仿宋" w:hAnsi="仿宋" w:cs="仿宋"/>
          <w:b/>
          <w:bCs/>
        </w:rPr>
        <w:t xml:space="preserve"> 政府机构</w:t>
      </w:r>
      <w:r>
        <w:rPr>
          <w:rFonts w:hint="eastAsia" w:ascii="仿宋" w:hAnsi="仿宋" w:cs="仿宋"/>
        </w:rPr>
        <w:t>，</w:t>
      </w:r>
      <w:r>
        <w:rPr>
          <w:rFonts w:ascii="仿宋" w:hAnsi="仿宋" w:cs="仿宋"/>
        </w:rPr>
        <w:t>指（1）中国各级人民政府、人民代表大会、人民法院、人民检察院；（2）任何在上述机构领导下或以上述机构名义行使行政、立法、司法、管理、监管、征用和征税权利的政府授权机构、事业单位和社会团体。</w:t>
      </w:r>
    </w:p>
    <w:p>
      <w:pPr>
        <w:snapToGrid w:val="0"/>
        <w:spacing w:before="156" w:beforeLines="50" w:line="360" w:lineRule="auto"/>
        <w:ind w:firstLine="470" w:firstLineChars="196"/>
        <w:rPr>
          <w:rFonts w:ascii="仿宋" w:hAnsi="仿宋" w:cs="仿宋"/>
        </w:rPr>
      </w:pPr>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p>
    <w:p>
      <w:pPr>
        <w:snapToGrid w:val="0"/>
        <w:spacing w:before="156" w:beforeLines="50" w:line="360" w:lineRule="auto"/>
        <w:ind w:firstLine="470" w:firstLineChars="196"/>
        <w:rPr>
          <w:rFonts w:ascii="仿宋" w:hAnsi="仿宋" w:cs="仿宋"/>
        </w:rPr>
      </w:pPr>
      <w:r>
        <w:rPr>
          <w:rFonts w:ascii="仿宋" w:hAnsi="仿宋" w:cs="仿宋"/>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snapToGrid w:val="0"/>
        <w:spacing w:before="156" w:beforeLines="50" w:line="360" w:lineRule="auto"/>
        <w:ind w:firstLine="470" w:firstLineChars="196"/>
        <w:rPr>
          <w:rFonts w:ascii="仿宋" w:hAnsi="仿宋" w:cs="仿宋"/>
        </w:rPr>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snapToGrid w:val="0"/>
        <w:spacing w:before="156" w:beforeLines="50" w:line="360" w:lineRule="auto"/>
        <w:ind w:firstLine="470" w:firstLineChars="196"/>
        <w:rPr>
          <w:rFonts w:ascii="仿宋" w:hAnsi="仿宋" w:cs="仿宋"/>
        </w:rPr>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snapToGrid w:val="0"/>
        <w:spacing w:before="156" w:beforeLines="50" w:line="360" w:lineRule="auto"/>
        <w:ind w:firstLine="470" w:firstLineChars="196"/>
        <w:rPr>
          <w:rFonts w:ascii="仿宋" w:hAnsi="仿宋" w:cs="仿宋"/>
          <w:b/>
          <w:color w:val="000000"/>
        </w:rPr>
      </w:pPr>
      <w:r>
        <w:rPr>
          <w:rFonts w:hint="eastAsia" w:ascii="仿宋" w:hAnsi="仿宋" w:cs="仿宋"/>
          <w:bCs/>
        </w:rPr>
        <w:t>本协议各部分的标题仅为索引方便而设，标题不应对本协议及其条款进行任何形式的定义、限制或扩大范围。</w:t>
      </w:r>
    </w:p>
    <w:p>
      <w:pPr>
        <w:pStyle w:val="3"/>
        <w:numPr>
          <w:ilvl w:val="255"/>
          <w:numId w:val="0"/>
        </w:numPr>
        <w:snapToGrid w:val="0"/>
        <w:spacing w:before="156" w:beforeLines="50" w:line="360" w:lineRule="auto"/>
        <w:ind w:firstLine="482" w:firstLineChars="200"/>
      </w:pPr>
      <w:r>
        <w:rPr>
          <w:rFonts w:hint="eastAsia"/>
        </w:rPr>
        <w:t>第二条</w:t>
      </w:r>
      <w:r>
        <w:t xml:space="preserve">  </w:t>
      </w:r>
      <w:r>
        <w:rPr>
          <w:rFonts w:hint="eastAsia"/>
        </w:rPr>
        <w:t>瑕疵和风险揭示</w:t>
      </w:r>
    </w:p>
    <w:p>
      <w:pPr>
        <w:snapToGrid w:val="0"/>
        <w:spacing w:line="360" w:lineRule="auto"/>
        <w:ind w:right="-87" w:firstLine="482" w:firstLineChars="200"/>
        <w:rPr>
          <w:rFonts w:ascii="仿宋" w:hAnsi="仿宋" w:cs="仿宋"/>
          <w:b/>
          <w:bCs/>
          <w:color w:val="000000"/>
        </w:rPr>
      </w:pPr>
      <w:r>
        <w:rPr>
          <w:rFonts w:ascii="仿宋" w:hAnsi="仿宋" w:cs="仿宋"/>
          <w:b/>
          <w:color w:val="000000"/>
        </w:rPr>
        <w:t>2.1</w:t>
      </w:r>
      <w:r>
        <w:rPr>
          <w:rFonts w:ascii="仿宋" w:hAnsi="仿宋" w:cs="仿宋"/>
          <w:color w:val="000000"/>
        </w:rPr>
        <w:t xml:space="preserve"> </w:t>
      </w:r>
      <w:r>
        <w:rPr>
          <w:rFonts w:ascii="仿宋" w:hAnsi="仿宋" w:cs="仿宋"/>
          <w:b/>
          <w:bCs/>
          <w:color w:val="000000"/>
        </w:rPr>
        <w:t>乙方已被告知并完全理解，乙方受让债权后，由于相关法律法规规章政策限制，导致乙方能够行使的标的债权数额可能小于本</w:t>
      </w:r>
      <w:r>
        <w:rPr>
          <w:rFonts w:hint="eastAsia" w:ascii="仿宋" w:hAnsi="仿宋" w:cs="仿宋"/>
          <w:b/>
          <w:bCs/>
          <w:color w:val="000000"/>
        </w:rPr>
        <w:t>协议</w:t>
      </w:r>
      <w:r>
        <w:rPr>
          <w:rFonts w:ascii="仿宋" w:hAnsi="仿宋" w:cs="仿宋"/>
          <w:b/>
          <w:bCs/>
          <w:color w:val="000000"/>
        </w:rPr>
        <w:t>（含附件）中列明的标的债权数额。相关法律法规规章政策包括但不限于：</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B.《民法典》第五百四十七条债权人转让债权的，受让人取得与债权有关的从权利，但是该从权利专属于债权人自身的除外；</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C.《关于印发〈人民币利率管理规定〉的通知》（银发[1999]77号）相关规定。</w:t>
      </w:r>
    </w:p>
    <w:p>
      <w:pPr>
        <w:snapToGrid w:val="0"/>
        <w:spacing w:before="156" w:beforeLines="50" w:line="360" w:lineRule="auto"/>
        <w:ind w:right="-87" w:firstLine="482" w:firstLineChars="200"/>
        <w:rPr>
          <w:rFonts w:ascii="仿宋" w:hAnsi="仿宋" w:cs="仿宋"/>
          <w:b/>
          <w:bCs/>
        </w:rPr>
      </w:pPr>
      <w:r>
        <w:rPr>
          <w:rFonts w:ascii="仿宋" w:hAnsi="仿宋" w:cs="仿宋"/>
          <w:b/>
          <w:bCs/>
          <w:color w:val="000000"/>
        </w:rPr>
        <w:t xml:space="preserve">2.2 </w:t>
      </w:r>
      <w:r>
        <w:rPr>
          <w:rFonts w:hint="eastAsia" w:ascii="仿宋" w:hAnsi="仿宋" w:cs="仿宋"/>
          <w:b/>
          <w:bCs/>
        </w:rPr>
        <w:t>乙方已被告知并完全理解，甲方转让给乙方的标的债权，存在或可能存在下列瑕疵或风险或尚未发现的瑕疵，</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snapToGrid w:val="0"/>
        <w:spacing w:before="156" w:beforeLines="50" w:line="360" w:lineRule="auto"/>
        <w:ind w:right="-87" w:firstLine="482" w:firstLineChars="200"/>
        <w:rPr>
          <w:rFonts w:ascii="仿宋" w:hAnsi="仿宋" w:cs="仿宋"/>
          <w:b/>
          <w:color w:val="000000"/>
        </w:rPr>
      </w:pPr>
      <w:r>
        <w:rPr>
          <w:rFonts w:hint="eastAsia" w:ascii="仿宋" w:hAnsi="仿宋" w:cs="仿宋"/>
          <w:b/>
          <w:bCs/>
          <w:color w:val="000000"/>
        </w:rPr>
        <w:t>2.2.</w:t>
      </w:r>
      <w:r>
        <w:rPr>
          <w:rFonts w:ascii="仿宋" w:hAnsi="仿宋" w:cs="仿宋"/>
          <w:b/>
          <w:bCs/>
          <w:color w:val="000000"/>
        </w:rPr>
        <w:t xml:space="preserve">1 </w:t>
      </w:r>
      <w:r>
        <w:rPr>
          <w:rFonts w:ascii="仿宋" w:hAnsi="仿宋" w:cs="仿宋"/>
          <w:b/>
          <w:color w:val="000000"/>
        </w:rPr>
        <w:t>标的债权系不良资产，存在着部分或全部不能回收的风险特性以及清收的困难性</w:t>
      </w:r>
      <w:r>
        <w:rPr>
          <w:rFonts w:hint="eastAsia" w:ascii="仿宋" w:hAnsi="仿宋" w:cs="仿宋"/>
          <w:b/>
          <w:color w:val="000000"/>
        </w:rPr>
        <w:t>；</w:t>
      </w:r>
    </w:p>
    <w:p>
      <w:pPr>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2.2.2 </w:t>
      </w:r>
      <w:r>
        <w:rPr>
          <w:rFonts w:hint="eastAsia" w:ascii="仿宋" w:hAnsi="仿宋" w:cs="仿宋"/>
          <w:b/>
          <w:bCs/>
          <w:color w:val="000000"/>
        </w:rPr>
        <w:t>乙方已被告知并完全理解，甲方此次系对标的债权进行现状转让，因存在计算误差或其他原因，乙方实际接收的标的债权金额与本协议附件一载明的债权金额不完全一致；</w:t>
      </w:r>
      <w:r>
        <w:rPr>
          <w:rFonts w:hint="eastAsia" w:ascii="仿宋" w:hAnsi="仿宋" w:cs="仿宋"/>
          <w:b/>
          <w:color w:val="000000"/>
        </w:rPr>
        <w:t>基于有关司法政策文件，乙方受让标的债权后向债务人或担保人所能主张并获得司法支持的利息与本协议附表中所列明的利息不完全一致；</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2.2.3 </w:t>
      </w:r>
      <w:r>
        <w:rPr>
          <w:rFonts w:hint="eastAsia" w:ascii="仿宋" w:hAnsi="仿宋" w:cs="仿宋"/>
          <w:b/>
          <w:bCs/>
          <w:color w:val="000000"/>
        </w:rPr>
        <w:t>与标的债权相关的债务人和/或担保人和/或第三方存在破产、被解散/注销/撤销/关闭/吊销、歇业、停业、下落不明</w:t>
      </w:r>
      <w:r>
        <w:rPr>
          <w:rFonts w:ascii="仿宋" w:hAnsi="仿宋" w:cs="仿宋"/>
          <w:b/>
          <w:bCs/>
          <w:color w:val="000000"/>
        </w:rPr>
        <w:t>，</w:t>
      </w:r>
      <w:r>
        <w:rPr>
          <w:rFonts w:hint="eastAsia" w:ascii="仿宋" w:hAnsi="仿宋" w:cs="仿宋"/>
          <w:b/>
          <w:bCs/>
          <w:color w:val="000000"/>
        </w:rPr>
        <w:t>以及其他主体存续性瑕疵的情形；</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2.2.4 </w:t>
      </w:r>
      <w:r>
        <w:rPr>
          <w:rFonts w:hint="eastAsia" w:ascii="仿宋" w:hAnsi="仿宋" w:cs="仿宋"/>
          <w:b/>
          <w:bCs/>
          <w:color w:val="000000"/>
        </w:rPr>
        <w:t>标的债权及担保权利存在因已过诉讼时效、</w:t>
      </w:r>
      <w:r>
        <w:rPr>
          <w:rFonts w:hint="eastAsia" w:ascii="仿宋" w:hAnsi="仿宋" w:cs="仿宋"/>
          <w:b/>
          <w:bCs/>
          <w:color w:val="000000"/>
          <w:lang w:bidi="ar"/>
        </w:rPr>
        <w:t>法定或约定时效或丧失其他相关的期间利益或因其他原因已部分或全部丧失</w:t>
      </w:r>
      <w:bookmarkStart w:id="2" w:name="_Hlk137459633"/>
      <w:r>
        <w:rPr>
          <w:rFonts w:hint="eastAsia" w:ascii="仿宋" w:hAnsi="仿宋" w:cs="仿宋"/>
          <w:b/>
          <w:bCs/>
          <w:color w:val="000000"/>
        </w:rPr>
        <w:t>、</w:t>
      </w:r>
      <w:r>
        <w:rPr>
          <w:rFonts w:hint="eastAsia" w:ascii="仿宋" w:hAnsi="仿宋" w:cs="仿宋"/>
          <w:b/>
          <w:bCs/>
          <w:color w:val="000000"/>
          <w:lang w:val="en-US" w:eastAsia="zh-CN"/>
        </w:rPr>
        <w:t>或</w:t>
      </w:r>
      <w:r>
        <w:rPr>
          <w:rFonts w:hint="eastAsia" w:ascii="仿宋" w:hAnsi="仿宋" w:cs="仿宋"/>
          <w:b/>
          <w:bCs/>
          <w:color w:val="000000"/>
        </w:rPr>
        <w:t>违反法律强制性规定等部分/全部不被法院或仲裁机构支持或不被法院强制执行的</w:t>
      </w:r>
      <w:r>
        <w:rPr>
          <w:rFonts w:hint="eastAsia" w:ascii="仿宋" w:hAnsi="仿宋" w:cs="仿宋"/>
          <w:b/>
          <w:bCs/>
          <w:color w:val="000000"/>
          <w:lang w:val="en-US" w:eastAsia="zh-CN"/>
        </w:rPr>
        <w:t>情形</w:t>
      </w:r>
      <w:r>
        <w:rPr>
          <w:rFonts w:hint="eastAsia" w:ascii="仿宋" w:hAnsi="仿宋" w:cs="仿宋"/>
          <w:b/>
          <w:bCs/>
          <w:color w:val="000000"/>
        </w:rPr>
        <w:t>，</w:t>
      </w:r>
      <w:bookmarkEnd w:id="2"/>
      <w:r>
        <w:rPr>
          <w:rFonts w:hint="eastAsia" w:ascii="仿宋" w:hAnsi="仿宋" w:cs="仿宋"/>
          <w:b/>
          <w:bCs/>
          <w:color w:val="000000"/>
        </w:rPr>
        <w:t>包括但不限于债权转让暨催收公告或通知中有关债权催收的内容不能起到中断诉讼时效的作用；</w:t>
      </w:r>
    </w:p>
    <w:p>
      <w:pPr>
        <w:snapToGrid w:val="0"/>
        <w:spacing w:before="156" w:beforeLines="50" w:line="360" w:lineRule="auto"/>
        <w:ind w:right="-87" w:firstLine="482" w:firstLineChars="200"/>
        <w:rPr>
          <w:rFonts w:ascii="仿宋" w:hAnsi="仿宋" w:cs="仿宋"/>
          <w:b/>
          <w:bCs/>
          <w:color w:val="000000"/>
        </w:rPr>
      </w:pPr>
      <w:r>
        <w:rPr>
          <w:rFonts w:hint="eastAsia" w:ascii="仿宋" w:hAnsi="仿宋" w:cs="仿宋"/>
          <w:b/>
          <w:color w:val="000000"/>
        </w:rPr>
        <w:t>2</w:t>
      </w:r>
      <w:r>
        <w:rPr>
          <w:rFonts w:ascii="仿宋" w:hAnsi="仿宋" w:cs="仿宋"/>
          <w:b/>
          <w:color w:val="000000"/>
        </w:rPr>
        <w:t xml:space="preserve">.2.5 </w:t>
      </w:r>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w:t>
      </w:r>
      <w:r>
        <w:rPr>
          <w:rFonts w:hint="eastAsia" w:ascii="仿宋" w:hAnsi="仿宋" w:cs="仿宋"/>
          <w:b/>
          <w:bCs/>
          <w:color w:val="000000"/>
          <w:lang w:bidi="ar"/>
        </w:rPr>
        <w:t>或已过诉讼时效、担保期间</w:t>
      </w:r>
      <w:r>
        <w:rPr>
          <w:rFonts w:hint="eastAsia" w:ascii="仿宋" w:hAnsi="仿宋" w:cs="仿宋"/>
          <w:b/>
          <w:bCs/>
          <w:color w:val="000000"/>
        </w:rPr>
        <w:t>等风险；</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snapToGrid w:val="0"/>
        <w:spacing w:before="156" w:beforeLines="50" w:line="360" w:lineRule="auto"/>
        <w:ind w:right="-98" w:rightChars="-41" w:firstLine="482" w:firstLineChars="200"/>
        <w:rPr>
          <w:rFonts w:ascii="仿宋" w:hAnsi="仿宋" w:cs="仿宋"/>
          <w:b/>
          <w:bCs/>
          <w:color w:val="000000"/>
        </w:rPr>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w:t>
      </w:r>
      <w:r>
        <w:rPr>
          <w:rFonts w:hint="eastAsia" w:ascii="仿宋" w:hAnsi="仿宋" w:cs="仿宋"/>
          <w:b/>
          <w:color w:val="000000"/>
          <w:lang w:val="en-US" w:eastAsia="zh-CN"/>
        </w:rPr>
        <w:t>实缴出资不到位或抽逃出资、</w:t>
      </w:r>
      <w:r>
        <w:rPr>
          <w:rFonts w:hint="eastAsia" w:ascii="仿宋" w:hAnsi="仿宋" w:cs="仿宋"/>
          <w:b/>
          <w:color w:val="000000"/>
        </w:rPr>
        <w:t>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p>
      <w:pPr>
        <w:snapToGrid w:val="0"/>
        <w:spacing w:before="156" w:beforeLines="50" w:line="360" w:lineRule="auto"/>
        <w:ind w:right="-98" w:rightChars="-41" w:firstLine="482" w:firstLineChars="200"/>
        <w:rPr>
          <w:rFonts w:ascii="仿宋" w:hAnsi="仿宋" w:cs="仿宋"/>
          <w:b/>
          <w:color w:val="000000"/>
        </w:rPr>
      </w:pPr>
      <w:r>
        <w:rPr>
          <w:rFonts w:hint="eastAsia" w:ascii="仿宋" w:hAnsi="仿宋" w:cs="仿宋"/>
          <w:b/>
          <w:color w:val="000000"/>
        </w:rPr>
        <w:t>2</w:t>
      </w:r>
      <w:r>
        <w:rPr>
          <w:rFonts w:ascii="仿宋" w:hAnsi="仿宋" w:cs="仿宋"/>
          <w:b/>
          <w:color w:val="000000"/>
        </w:rPr>
        <w:t xml:space="preserve">.2.9 </w:t>
      </w:r>
      <w:r>
        <w:rPr>
          <w:rFonts w:hint="eastAsia" w:ascii="仿宋" w:hAnsi="仿宋" w:cs="仿宋"/>
          <w:b/>
          <w:color w:val="000000"/>
        </w:rPr>
        <w:t>担保合同存在约定主债权未经担保人同意不可转让或担保人只对特定债权人承担担保责任的情形；</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2.2.11 </w:t>
      </w:r>
      <w:r>
        <w:rPr>
          <w:rFonts w:hint="eastAsia" w:ascii="仿宋" w:hAnsi="仿宋" w:cs="仿宋"/>
          <w:b/>
          <w:color w:val="000000"/>
        </w:rPr>
        <w:t>标的债权事实上已经全部或部分灭失；</w:t>
      </w:r>
    </w:p>
    <w:p>
      <w:pPr>
        <w:snapToGrid w:val="0"/>
        <w:spacing w:before="156" w:beforeLines="50" w:line="360" w:lineRule="auto"/>
        <w:ind w:right="-87" w:firstLine="482" w:firstLineChars="200"/>
        <w:rPr>
          <w:rFonts w:hint="eastAsia" w:ascii="仿宋" w:hAnsi="仿宋" w:eastAsia="仿宋" w:cs="仿宋"/>
          <w:b/>
          <w:bCs/>
          <w:color w:val="000000"/>
          <w:lang w:eastAsia="zh-CN"/>
        </w:rPr>
      </w:pPr>
      <w:r>
        <w:rPr>
          <w:rFonts w:ascii="仿宋" w:hAnsi="仿宋" w:cs="仿宋"/>
          <w:b/>
          <w:bCs/>
          <w:color w:val="000000"/>
        </w:rPr>
        <w:t xml:space="preserve">2.2.12 </w:t>
      </w:r>
      <w:r>
        <w:rPr>
          <w:rFonts w:hint="eastAsia" w:ascii="仿宋" w:hAnsi="仿宋" w:cs="仿宋"/>
          <w:b/>
          <w:bCs/>
          <w:color w:val="000000"/>
          <w:lang w:val="en-US" w:eastAsia="zh-CN"/>
        </w:rPr>
        <w:t xml:space="preserve">不良贷款资产可能存在的其他瑕疵。    </w:t>
      </w:r>
    </w:p>
    <w:p>
      <w:pPr>
        <w:snapToGrid w:val="0"/>
        <w:spacing w:before="156" w:beforeLines="50" w:line="360" w:lineRule="auto"/>
        <w:ind w:right="-87" w:firstLine="482" w:firstLineChars="200"/>
        <w:rPr>
          <w:rFonts w:ascii="仿宋" w:hAnsi="仿宋" w:cs="仿宋"/>
          <w:b/>
          <w:bCs/>
        </w:rPr>
      </w:pPr>
      <w:r>
        <w:rPr>
          <w:rFonts w:hint="eastAsia" w:ascii="仿宋" w:hAnsi="仿宋" w:cs="仿宋"/>
          <w:b/>
          <w:bCs/>
        </w:rPr>
        <w:t>甲方对上述瑕疵或风险不发表任何判断性结论，由乙方自行作出判断，甲方不承担任何责任。</w:t>
      </w:r>
    </w:p>
    <w:p>
      <w:pPr>
        <w:snapToGrid w:val="0"/>
        <w:spacing w:before="156" w:beforeLines="50" w:line="360" w:lineRule="auto"/>
        <w:ind w:firstLine="472" w:firstLineChars="196"/>
        <w:rPr>
          <w:rFonts w:ascii="仿宋" w:hAnsi="仿宋" w:cs="仿宋"/>
          <w:b/>
          <w:bCs/>
          <w:color w:val="000000"/>
        </w:rPr>
      </w:pPr>
      <w:r>
        <w:rPr>
          <w:rFonts w:ascii="仿宋" w:hAnsi="仿宋" w:cs="仿宋"/>
          <w:b/>
          <w:bCs/>
          <w:color w:val="000000"/>
        </w:rPr>
        <w:t>2.3 乙方受让标的债权后，可能无法享有甲方所享有的国家法律</w:t>
      </w:r>
      <w:r>
        <w:rPr>
          <w:rFonts w:hint="eastAsia" w:ascii="仿宋" w:hAnsi="仿宋" w:cs="仿宋"/>
          <w:b/>
          <w:bCs/>
          <w:color w:val="000000"/>
        </w:rPr>
        <w:t>法规</w:t>
      </w:r>
      <w:r>
        <w:rPr>
          <w:rFonts w:ascii="仿宋" w:hAnsi="仿宋" w:cs="仿宋"/>
          <w:b/>
          <w:bCs/>
          <w:color w:val="000000"/>
        </w:rPr>
        <w:t>规定的各项优惠条件和特殊保护，包括但不限于税收和诉讼方面的优惠和特殊保护。</w:t>
      </w:r>
    </w:p>
    <w:p>
      <w:pPr>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3"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r>
        <w:rPr>
          <w:rFonts w:hint="eastAsia" w:ascii="仿宋" w:hAnsi="仿宋" w:cs="仿宋"/>
          <w:b/>
          <w:bCs/>
          <w:color w:val="000000"/>
        </w:rPr>
        <w:t>，甲方对此不承担任何责任</w:t>
      </w:r>
      <w:r>
        <w:rPr>
          <w:rFonts w:ascii="仿宋" w:hAnsi="仿宋" w:cs="仿宋"/>
          <w:b/>
          <w:bCs/>
          <w:color w:val="000000"/>
        </w:rPr>
        <w:t>。</w:t>
      </w:r>
      <w:bookmarkEnd w:id="3"/>
    </w:p>
    <w:p>
      <w:pPr>
        <w:snapToGrid w:val="0"/>
        <w:spacing w:before="156" w:beforeLines="50" w:line="360" w:lineRule="auto"/>
        <w:ind w:firstLine="482" w:firstLineChars="200"/>
        <w:rPr>
          <w:rFonts w:ascii="仿宋" w:hAnsi="仿宋" w:cs="仿宋"/>
          <w:b/>
          <w:bCs/>
          <w:color w:val="000000"/>
        </w:rPr>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以标的债权及担保权利、担保物、抵债资产存在上述瑕疵或风险作为减轻或免除其义务和责任的抗辩理由，包括但不限于主张本协议无效或要求人民法院、仲裁机构撤销、解除转让协议、减少支付转让价款或相关费用，或要求甲方赔偿或承担其他责任等。乙方同时承诺，其从甲方处受让债权后将该等债权再行转让给第三方的，若第三方在主张权利过程中不能实现债权而发生纠纷的，由乙方承担全部责任，不向甲方追偿。</w:t>
      </w:r>
    </w:p>
    <w:p>
      <w:pPr>
        <w:pStyle w:val="3"/>
        <w:numPr>
          <w:ilvl w:val="255"/>
          <w:numId w:val="0"/>
        </w:numPr>
        <w:snapToGrid w:val="0"/>
        <w:spacing w:before="156" w:beforeLines="50" w:line="360" w:lineRule="auto"/>
        <w:ind w:firstLine="482" w:firstLineChars="200"/>
      </w:pPr>
      <w:r>
        <w:rPr>
          <w:rFonts w:hint="eastAsia"/>
        </w:rPr>
        <w:t>第三条</w:t>
      </w:r>
      <w:r>
        <w:t xml:space="preserve">  </w:t>
      </w:r>
      <w:r>
        <w:rPr>
          <w:rFonts w:hint="eastAsia"/>
        </w:rPr>
        <w:t>标的债权金额</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3.1 </w:t>
      </w:r>
      <w:r>
        <w:rPr>
          <w:rFonts w:hint="eastAsia" w:ascii="仿宋" w:hAnsi="仿宋" w:cs="仿宋"/>
        </w:rPr>
        <w:t>截至基准日，标的债权本金余额为</w:t>
      </w:r>
      <w:r>
        <w:rPr>
          <w:rFonts w:hint="eastAsia" w:ascii="仿宋" w:hAnsi="仿宋" w:eastAsia="仿宋" w:cs="仿宋"/>
          <w:sz w:val="24"/>
        </w:rPr>
        <w:t>人民币</w:t>
      </w:r>
      <w:r>
        <w:rPr>
          <w:rFonts w:hint="eastAsia" w:ascii="仿宋" w:hAnsi="仿宋" w:eastAsia="仿宋" w:cs="仿宋"/>
          <w:sz w:val="24"/>
          <w:lang w:val="en-US" w:eastAsia="zh-CN"/>
        </w:rPr>
        <w:t>叁亿捌仟万元整</w:t>
      </w:r>
      <w:r>
        <w:rPr>
          <w:rFonts w:hint="eastAsia" w:ascii="仿宋" w:hAnsi="仿宋" w:eastAsia="仿宋" w:cs="仿宋"/>
          <w:sz w:val="24"/>
        </w:rPr>
        <w:t>（小写：</w:t>
      </w:r>
      <w:r>
        <w:rPr>
          <w:rFonts w:hint="eastAsia" w:ascii="仿宋" w:hAnsi="仿宋" w:eastAsia="仿宋" w:cs="仿宋"/>
          <w:sz w:val="24"/>
          <w:u w:val="single"/>
        </w:rPr>
        <w:t>¥</w:t>
      </w:r>
      <w:r>
        <w:rPr>
          <w:rFonts w:hint="eastAsia" w:ascii="仿宋" w:hAnsi="仿宋" w:eastAsia="仿宋" w:cs="仿宋"/>
          <w:sz w:val="24"/>
          <w:u w:val="single"/>
          <w:lang w:val="en-US" w:eastAsia="zh-CN"/>
        </w:rPr>
        <w:t>380,000,000.00</w:t>
      </w:r>
      <w:r>
        <w:rPr>
          <w:rFonts w:hint="eastAsia" w:ascii="仿宋" w:hAnsi="仿宋" w:eastAsia="仿宋" w:cs="仿宋"/>
          <w:sz w:val="24"/>
        </w:rPr>
        <w:t>），利息为人民币</w:t>
      </w:r>
      <w:r>
        <w:rPr>
          <w:rFonts w:hint="default" w:ascii="仿宋" w:hAnsi="仿宋" w:cs="仿宋"/>
          <w:sz w:val="24"/>
          <w:u w:val="single"/>
          <w:lang w:val="en-US" w:eastAsia="zh-CN"/>
        </w:rPr>
        <w:t>贰</w:t>
      </w:r>
      <w:r>
        <w:rPr>
          <w:rFonts w:hint="eastAsia" w:ascii="仿宋" w:hAnsi="仿宋" w:eastAsia="仿宋" w:cs="仿宋"/>
          <w:sz w:val="24"/>
          <w:u w:val="single"/>
          <w:lang w:val="en-US" w:eastAsia="zh-CN"/>
        </w:rPr>
        <w:t>亿</w:t>
      </w:r>
      <w:r>
        <w:rPr>
          <w:rFonts w:hint="default" w:ascii="仿宋" w:hAnsi="仿宋" w:cs="仿宋"/>
          <w:sz w:val="24"/>
          <w:u w:val="single"/>
          <w:lang w:val="en-US" w:eastAsia="zh-CN"/>
        </w:rPr>
        <w:t>柒</w:t>
      </w:r>
      <w:r>
        <w:rPr>
          <w:rFonts w:hint="eastAsia" w:ascii="仿宋" w:hAnsi="仿宋" w:eastAsia="仿宋" w:cs="仿宋"/>
          <w:sz w:val="24"/>
          <w:u w:val="single"/>
          <w:lang w:val="en-US" w:eastAsia="zh-CN"/>
        </w:rPr>
        <w:t>仟</w:t>
      </w:r>
      <w:r>
        <w:rPr>
          <w:rFonts w:hint="default" w:ascii="仿宋" w:hAnsi="仿宋" w:cs="仿宋"/>
          <w:sz w:val="24"/>
          <w:u w:val="single"/>
          <w:lang w:val="en-US" w:eastAsia="zh-CN"/>
        </w:rPr>
        <w:t>玖</w:t>
      </w:r>
      <w:r>
        <w:rPr>
          <w:rFonts w:hint="default" w:ascii="仿宋" w:hAnsi="仿宋" w:eastAsia="仿宋" w:cs="仿宋"/>
          <w:sz w:val="24"/>
          <w:u w:val="single"/>
          <w:lang w:val="en-US" w:eastAsia="zh-CN"/>
        </w:rPr>
        <w:t>佰</w:t>
      </w:r>
      <w:r>
        <w:rPr>
          <w:rFonts w:hint="default" w:ascii="仿宋" w:hAnsi="仿宋" w:cs="仿宋"/>
          <w:sz w:val="24"/>
          <w:u w:val="single"/>
          <w:lang w:val="en-US" w:eastAsia="zh-CN"/>
        </w:rPr>
        <w:t>捌</w:t>
      </w:r>
      <w:r>
        <w:rPr>
          <w:rFonts w:hint="default" w:ascii="仿宋" w:hAnsi="仿宋" w:eastAsia="仿宋" w:cs="仿宋"/>
          <w:sz w:val="24"/>
          <w:u w:val="single"/>
          <w:lang w:val="en-US" w:eastAsia="zh-CN"/>
        </w:rPr>
        <w:t>拾</w:t>
      </w:r>
      <w:r>
        <w:rPr>
          <w:rFonts w:hint="default" w:ascii="仿宋" w:hAnsi="仿宋" w:cs="仿宋"/>
          <w:sz w:val="24"/>
          <w:u w:val="single"/>
          <w:lang w:val="en-US" w:eastAsia="zh-CN"/>
        </w:rPr>
        <w:t>贰</w:t>
      </w:r>
      <w:r>
        <w:rPr>
          <w:rFonts w:hint="default" w:ascii="仿宋" w:hAnsi="仿宋" w:eastAsia="仿宋" w:cs="仿宋"/>
          <w:sz w:val="24"/>
          <w:u w:val="single"/>
          <w:lang w:val="en-US" w:eastAsia="zh-CN"/>
        </w:rPr>
        <w:t>万</w:t>
      </w:r>
      <w:r>
        <w:rPr>
          <w:rFonts w:hint="default" w:ascii="仿宋" w:hAnsi="仿宋" w:cs="仿宋"/>
          <w:sz w:val="24"/>
          <w:u w:val="single"/>
          <w:lang w:val="en-US" w:eastAsia="zh-CN"/>
        </w:rPr>
        <w:t>肆仟叁佰伍拾叁</w:t>
      </w:r>
      <w:r>
        <w:rPr>
          <w:rFonts w:hint="default" w:ascii="仿宋" w:hAnsi="仿宋" w:eastAsia="仿宋" w:cs="仿宋"/>
          <w:sz w:val="24"/>
          <w:u w:val="single"/>
          <w:lang w:val="en-US" w:eastAsia="zh-CN"/>
        </w:rPr>
        <w:t>元</w:t>
      </w:r>
      <w:r>
        <w:rPr>
          <w:rFonts w:hint="default" w:ascii="仿宋" w:hAnsi="仿宋" w:cs="仿宋"/>
          <w:sz w:val="24"/>
          <w:u w:val="single"/>
          <w:lang w:val="en-US" w:eastAsia="zh-CN"/>
        </w:rPr>
        <w:t>捌</w:t>
      </w:r>
      <w:r>
        <w:rPr>
          <w:rFonts w:hint="default" w:ascii="仿宋" w:hAnsi="仿宋" w:eastAsia="仿宋" w:cs="仿宋"/>
          <w:sz w:val="24"/>
          <w:u w:val="single"/>
          <w:lang w:val="en-US" w:eastAsia="zh-CN"/>
        </w:rPr>
        <w:t>角</w:t>
      </w:r>
      <w:r>
        <w:rPr>
          <w:rFonts w:hint="default" w:ascii="仿宋" w:hAnsi="仿宋" w:cs="仿宋"/>
          <w:sz w:val="24"/>
          <w:u w:val="single"/>
          <w:lang w:val="en-US" w:eastAsia="zh-CN"/>
        </w:rPr>
        <w:t>壹</w:t>
      </w:r>
      <w:r>
        <w:rPr>
          <w:rFonts w:hint="default" w:ascii="仿宋" w:hAnsi="仿宋" w:eastAsia="仿宋" w:cs="仿宋"/>
          <w:sz w:val="24"/>
          <w:u w:val="single"/>
          <w:lang w:val="en-US" w:eastAsia="zh-CN"/>
        </w:rPr>
        <w:t>分</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cs="仿宋"/>
          <w:sz w:val="24"/>
          <w:u w:val="single"/>
          <w:lang w:val="en-US" w:eastAsia="zh-CN"/>
        </w:rPr>
        <w:t>279</w:t>
      </w:r>
      <w:r>
        <w:rPr>
          <w:rFonts w:hint="eastAsia" w:ascii="仿宋" w:hAnsi="仿宋" w:eastAsia="仿宋" w:cs="仿宋"/>
          <w:sz w:val="24"/>
          <w:u w:val="single"/>
          <w:lang w:val="en-US" w:eastAsia="zh-CN"/>
        </w:rPr>
        <w:t>,</w:t>
      </w:r>
      <w:r>
        <w:rPr>
          <w:rFonts w:hint="eastAsia" w:ascii="仿宋" w:hAnsi="仿宋" w:cs="仿宋"/>
          <w:sz w:val="24"/>
          <w:u w:val="single"/>
          <w:lang w:val="en-US" w:eastAsia="zh-CN"/>
        </w:rPr>
        <w:t>824</w:t>
      </w:r>
      <w:r>
        <w:rPr>
          <w:rFonts w:hint="eastAsia" w:ascii="仿宋" w:hAnsi="仿宋" w:eastAsia="仿宋" w:cs="仿宋"/>
          <w:sz w:val="24"/>
          <w:u w:val="single"/>
          <w:lang w:val="en-US" w:eastAsia="zh-CN"/>
        </w:rPr>
        <w:t>,</w:t>
      </w:r>
      <w:r>
        <w:rPr>
          <w:rFonts w:hint="eastAsia" w:ascii="仿宋" w:hAnsi="仿宋" w:cs="仿宋"/>
          <w:sz w:val="24"/>
          <w:u w:val="single"/>
          <w:lang w:val="en-US" w:eastAsia="zh-CN"/>
        </w:rPr>
        <w:t>353</w:t>
      </w:r>
      <w:r>
        <w:rPr>
          <w:rFonts w:hint="eastAsia" w:ascii="仿宋" w:hAnsi="仿宋" w:eastAsia="仿宋" w:cs="仿宋"/>
          <w:sz w:val="24"/>
          <w:u w:val="single"/>
          <w:lang w:val="en-US" w:eastAsia="zh-CN"/>
        </w:rPr>
        <w:t>.</w:t>
      </w:r>
      <w:r>
        <w:rPr>
          <w:rFonts w:hint="eastAsia" w:ascii="仿宋" w:hAnsi="仿宋" w:cs="仿宋"/>
          <w:sz w:val="24"/>
          <w:u w:val="single"/>
          <w:lang w:val="en-US" w:eastAsia="zh-CN"/>
        </w:rPr>
        <w:t>81</w:t>
      </w:r>
      <w:r>
        <w:rPr>
          <w:rFonts w:hint="eastAsia" w:ascii="仿宋" w:hAnsi="仿宋" w:eastAsia="仿宋" w:cs="仿宋"/>
          <w:sz w:val="24"/>
        </w:rPr>
        <w:t>），</w:t>
      </w:r>
      <w:r>
        <w:rPr>
          <w:rFonts w:hint="eastAsia" w:ascii="仿宋" w:hAnsi="仿宋" w:eastAsia="仿宋" w:cs="仿宋"/>
          <w:sz w:val="24"/>
          <w:lang w:val="en-US" w:eastAsia="zh-CN"/>
        </w:rPr>
        <w:t>违约金为人民币</w:t>
      </w:r>
      <w:r>
        <w:rPr>
          <w:rFonts w:hint="eastAsia" w:ascii="仿宋" w:hAnsi="仿宋" w:cs="仿宋"/>
          <w:sz w:val="24"/>
          <w:u w:val="single"/>
          <w:lang w:val="en-US" w:eastAsia="zh-CN"/>
        </w:rPr>
        <w:t>贰</w:t>
      </w:r>
      <w:r>
        <w:rPr>
          <w:rFonts w:hint="eastAsia" w:ascii="仿宋" w:hAnsi="仿宋" w:eastAsia="仿宋" w:cs="仿宋"/>
          <w:sz w:val="24"/>
          <w:u w:val="single"/>
          <w:lang w:val="en-US" w:eastAsia="zh-CN"/>
        </w:rPr>
        <w:t>亿</w:t>
      </w:r>
      <w:r>
        <w:rPr>
          <w:rFonts w:hint="eastAsia" w:ascii="仿宋" w:hAnsi="仿宋" w:cs="仿宋"/>
          <w:sz w:val="24"/>
          <w:u w:val="single"/>
          <w:lang w:val="en-US" w:eastAsia="zh-CN"/>
        </w:rPr>
        <w:t>伍</w:t>
      </w:r>
      <w:r>
        <w:rPr>
          <w:rFonts w:hint="eastAsia" w:ascii="仿宋" w:hAnsi="仿宋" w:eastAsia="仿宋" w:cs="仿宋"/>
          <w:sz w:val="24"/>
          <w:u w:val="single"/>
          <w:lang w:val="en-US" w:eastAsia="zh-CN"/>
        </w:rPr>
        <w:t>仟</w:t>
      </w:r>
      <w:r>
        <w:rPr>
          <w:rFonts w:hint="eastAsia" w:ascii="仿宋" w:hAnsi="仿宋" w:cs="仿宋"/>
          <w:sz w:val="24"/>
          <w:u w:val="single"/>
          <w:lang w:val="en-US" w:eastAsia="zh-CN"/>
        </w:rPr>
        <w:t>玖佰零玖</w:t>
      </w:r>
      <w:r>
        <w:rPr>
          <w:rFonts w:hint="eastAsia" w:ascii="仿宋" w:hAnsi="仿宋" w:eastAsia="仿宋" w:cs="仿宋"/>
          <w:sz w:val="24"/>
          <w:u w:val="single"/>
          <w:lang w:val="en-US" w:eastAsia="zh-CN"/>
        </w:rPr>
        <w:t>拾万</w:t>
      </w:r>
      <w:r>
        <w:rPr>
          <w:rFonts w:hint="eastAsia" w:ascii="仿宋" w:hAnsi="仿宋" w:cs="仿宋"/>
          <w:sz w:val="24"/>
          <w:u w:val="single"/>
          <w:lang w:val="en-US" w:eastAsia="zh-CN"/>
        </w:rPr>
        <w:t>捌佰捌拾捌元捌角壹分</w:t>
      </w:r>
      <w:r>
        <w:rPr>
          <w:rFonts w:hint="eastAsia" w:ascii="仿宋" w:hAnsi="仿宋" w:eastAsia="仿宋" w:cs="仿宋"/>
          <w:sz w:val="24"/>
        </w:rPr>
        <w:t>（小写：</w:t>
      </w:r>
      <w:r>
        <w:rPr>
          <w:rFonts w:hint="eastAsia" w:ascii="仿宋" w:hAnsi="仿宋" w:eastAsia="仿宋" w:cs="仿宋"/>
          <w:sz w:val="24"/>
          <w:u w:val="single"/>
        </w:rPr>
        <w:t>¥</w:t>
      </w:r>
      <w:r>
        <w:rPr>
          <w:rFonts w:hint="eastAsia" w:ascii="仿宋" w:hAnsi="仿宋" w:cs="仿宋"/>
          <w:sz w:val="24"/>
          <w:u w:val="single"/>
          <w:lang w:val="en-US" w:eastAsia="zh-CN"/>
        </w:rPr>
        <w:t>259</w:t>
      </w:r>
      <w:r>
        <w:rPr>
          <w:rFonts w:hint="eastAsia" w:ascii="仿宋" w:hAnsi="仿宋" w:eastAsia="仿宋" w:cs="仿宋"/>
          <w:sz w:val="24"/>
          <w:u w:val="single"/>
          <w:lang w:val="en-US" w:eastAsia="zh-CN"/>
        </w:rPr>
        <w:t>,</w:t>
      </w:r>
      <w:r>
        <w:rPr>
          <w:rFonts w:hint="eastAsia" w:ascii="仿宋" w:hAnsi="仿宋" w:cs="仿宋"/>
          <w:sz w:val="24"/>
          <w:u w:val="single"/>
          <w:lang w:val="en-US" w:eastAsia="zh-CN"/>
        </w:rPr>
        <w:t>090</w:t>
      </w:r>
      <w:r>
        <w:rPr>
          <w:rFonts w:hint="eastAsia" w:ascii="仿宋" w:hAnsi="仿宋" w:eastAsia="仿宋" w:cs="仿宋"/>
          <w:sz w:val="24"/>
          <w:u w:val="single"/>
          <w:lang w:val="en-US" w:eastAsia="zh-CN"/>
        </w:rPr>
        <w:t>,</w:t>
      </w:r>
      <w:r>
        <w:rPr>
          <w:rFonts w:hint="eastAsia" w:ascii="仿宋" w:hAnsi="仿宋" w:cs="仿宋"/>
          <w:sz w:val="24"/>
          <w:u w:val="single"/>
          <w:lang w:val="en-US" w:eastAsia="zh-CN"/>
        </w:rPr>
        <w:t>88</w:t>
      </w:r>
      <w:r>
        <w:rPr>
          <w:rFonts w:hint="eastAsia" w:ascii="仿宋" w:hAnsi="仿宋" w:eastAsia="仿宋" w:cs="仿宋"/>
          <w:sz w:val="24"/>
          <w:u w:val="single"/>
          <w:lang w:val="en-US" w:eastAsia="zh-CN"/>
        </w:rPr>
        <w:t>8.</w:t>
      </w:r>
      <w:r>
        <w:rPr>
          <w:rFonts w:hint="eastAsia" w:ascii="仿宋" w:hAnsi="仿宋" w:cs="仿宋"/>
          <w:sz w:val="24"/>
          <w:u w:val="single"/>
          <w:lang w:val="en-US" w:eastAsia="zh-CN"/>
        </w:rPr>
        <w:t>81</w:t>
      </w:r>
      <w:r>
        <w:rPr>
          <w:rFonts w:hint="eastAsia" w:ascii="仿宋" w:hAnsi="仿宋" w:eastAsia="仿宋" w:cs="仿宋"/>
          <w:sz w:val="24"/>
        </w:rPr>
        <w:t>）</w:t>
      </w:r>
      <w:r>
        <w:rPr>
          <w:rFonts w:hint="eastAsia" w:ascii="仿宋" w:hAnsi="仿宋" w:cs="仿宋"/>
          <w:sz w:val="24"/>
          <w:lang w:eastAsia="zh-CN"/>
        </w:rPr>
        <w:t>。</w:t>
      </w:r>
      <w:r>
        <w:rPr>
          <w:rFonts w:hint="eastAsia" w:ascii="仿宋" w:hAnsi="仿宋" w:eastAsia="仿宋" w:cs="仿宋"/>
          <w:sz w:val="24"/>
          <w:lang w:val="en-US" w:eastAsia="zh-CN"/>
        </w:rPr>
        <w:t>债权</w:t>
      </w:r>
      <w:r>
        <w:rPr>
          <w:rFonts w:hint="eastAsia" w:ascii="仿宋" w:hAnsi="仿宋" w:eastAsia="仿宋" w:cs="仿宋"/>
          <w:sz w:val="24"/>
        </w:rPr>
        <w:t>合计为人民币</w:t>
      </w:r>
      <w:r>
        <w:rPr>
          <w:rFonts w:hint="eastAsia" w:ascii="仿宋" w:hAnsi="仿宋" w:cs="仿宋"/>
          <w:sz w:val="24"/>
          <w:u w:val="single"/>
          <w:lang w:val="en-US" w:eastAsia="zh-CN"/>
        </w:rPr>
        <w:t>玖</w:t>
      </w:r>
      <w:r>
        <w:rPr>
          <w:rFonts w:hint="eastAsia" w:ascii="仿宋" w:hAnsi="仿宋" w:eastAsia="仿宋" w:cs="仿宋"/>
          <w:sz w:val="24"/>
          <w:u w:val="single"/>
          <w:lang w:val="en-US" w:eastAsia="zh-CN"/>
        </w:rPr>
        <w:t>亿</w:t>
      </w:r>
      <w:r>
        <w:rPr>
          <w:rFonts w:hint="eastAsia" w:ascii="仿宋" w:hAnsi="仿宋" w:cs="仿宋"/>
          <w:sz w:val="24"/>
          <w:u w:val="single"/>
          <w:lang w:val="en-US" w:eastAsia="zh-CN"/>
        </w:rPr>
        <w:t>壹</w:t>
      </w:r>
      <w:r>
        <w:rPr>
          <w:rFonts w:hint="eastAsia" w:ascii="仿宋" w:hAnsi="仿宋" w:eastAsia="仿宋" w:cs="仿宋"/>
          <w:sz w:val="24"/>
          <w:u w:val="single"/>
          <w:lang w:val="en-US" w:eastAsia="zh-CN"/>
        </w:rPr>
        <w:t>仟捌佰</w:t>
      </w:r>
      <w:r>
        <w:rPr>
          <w:rFonts w:hint="eastAsia" w:ascii="仿宋" w:hAnsi="仿宋" w:cs="仿宋"/>
          <w:sz w:val="24"/>
          <w:u w:val="single"/>
          <w:lang w:val="en-US" w:eastAsia="zh-CN"/>
        </w:rPr>
        <w:t>玖</w:t>
      </w:r>
      <w:r>
        <w:rPr>
          <w:rFonts w:hint="eastAsia" w:ascii="仿宋" w:hAnsi="仿宋" w:eastAsia="仿宋" w:cs="仿宋"/>
          <w:sz w:val="24"/>
          <w:u w:val="single"/>
          <w:lang w:val="en-US" w:eastAsia="zh-CN"/>
        </w:rPr>
        <w:t>拾</w:t>
      </w:r>
      <w:r>
        <w:rPr>
          <w:rFonts w:hint="eastAsia" w:ascii="仿宋" w:hAnsi="仿宋" w:cs="仿宋"/>
          <w:sz w:val="24"/>
          <w:u w:val="single"/>
          <w:lang w:val="en-US" w:eastAsia="zh-CN"/>
        </w:rPr>
        <w:t>壹</w:t>
      </w:r>
      <w:r>
        <w:rPr>
          <w:rFonts w:hint="eastAsia" w:ascii="仿宋" w:hAnsi="仿宋" w:eastAsia="仿宋" w:cs="仿宋"/>
          <w:sz w:val="24"/>
          <w:u w:val="single"/>
          <w:lang w:val="en-US" w:eastAsia="zh-CN"/>
        </w:rPr>
        <w:t>万</w:t>
      </w:r>
      <w:r>
        <w:rPr>
          <w:rFonts w:hint="eastAsia" w:ascii="仿宋" w:hAnsi="仿宋" w:cs="仿宋"/>
          <w:sz w:val="24"/>
          <w:u w:val="single"/>
          <w:lang w:val="en-US" w:eastAsia="zh-CN"/>
        </w:rPr>
        <w:t>伍</w:t>
      </w:r>
      <w:r>
        <w:rPr>
          <w:rFonts w:hint="eastAsia" w:ascii="仿宋" w:hAnsi="仿宋" w:eastAsia="仿宋" w:cs="仿宋"/>
          <w:sz w:val="24"/>
          <w:u w:val="single"/>
          <w:lang w:val="en-US" w:eastAsia="zh-CN"/>
        </w:rPr>
        <w:t>仟</w:t>
      </w:r>
      <w:r>
        <w:rPr>
          <w:rFonts w:hint="eastAsia" w:ascii="仿宋" w:hAnsi="仿宋" w:cs="仿宋"/>
          <w:sz w:val="24"/>
          <w:u w:val="single"/>
          <w:lang w:val="en-US" w:eastAsia="zh-CN"/>
        </w:rPr>
        <w:t>贰</w:t>
      </w:r>
      <w:r>
        <w:rPr>
          <w:rFonts w:hint="eastAsia" w:ascii="仿宋" w:hAnsi="仿宋" w:eastAsia="仿宋" w:cs="仿宋"/>
          <w:sz w:val="24"/>
          <w:u w:val="single"/>
          <w:lang w:val="en-US" w:eastAsia="zh-CN"/>
        </w:rPr>
        <w:t>佰</w:t>
      </w:r>
      <w:r>
        <w:rPr>
          <w:rFonts w:hint="eastAsia" w:ascii="仿宋" w:hAnsi="仿宋" w:cs="仿宋"/>
          <w:sz w:val="24"/>
          <w:u w:val="single"/>
          <w:lang w:val="en-US" w:eastAsia="zh-CN"/>
        </w:rPr>
        <w:t>肆</w:t>
      </w:r>
      <w:r>
        <w:rPr>
          <w:rFonts w:hint="eastAsia" w:ascii="仿宋" w:hAnsi="仿宋" w:eastAsia="仿宋" w:cs="仿宋"/>
          <w:sz w:val="24"/>
          <w:u w:val="single"/>
          <w:lang w:val="en-US" w:eastAsia="zh-CN"/>
        </w:rPr>
        <w:t>拾</w:t>
      </w:r>
      <w:r>
        <w:rPr>
          <w:rFonts w:hint="eastAsia" w:ascii="仿宋" w:hAnsi="仿宋" w:cs="仿宋"/>
          <w:sz w:val="24"/>
          <w:u w:val="single"/>
          <w:lang w:val="en-US" w:eastAsia="zh-CN"/>
        </w:rPr>
        <w:t>贰</w:t>
      </w:r>
      <w:r>
        <w:rPr>
          <w:rFonts w:hint="eastAsia" w:ascii="仿宋" w:hAnsi="仿宋" w:eastAsia="仿宋" w:cs="仿宋"/>
          <w:sz w:val="24"/>
          <w:u w:val="single"/>
          <w:lang w:val="en-US" w:eastAsia="zh-CN"/>
        </w:rPr>
        <w:t>元</w:t>
      </w:r>
      <w:r>
        <w:rPr>
          <w:rFonts w:hint="eastAsia" w:ascii="仿宋" w:hAnsi="仿宋" w:cs="仿宋"/>
          <w:sz w:val="24"/>
          <w:u w:val="single"/>
          <w:lang w:val="en-US" w:eastAsia="zh-CN"/>
        </w:rPr>
        <w:t>陆</w:t>
      </w:r>
      <w:r>
        <w:rPr>
          <w:rFonts w:hint="eastAsia" w:ascii="仿宋" w:hAnsi="仿宋" w:eastAsia="仿宋" w:cs="仿宋"/>
          <w:sz w:val="24"/>
          <w:u w:val="single"/>
          <w:lang w:val="en-US" w:eastAsia="zh-CN"/>
        </w:rPr>
        <w:t>角</w:t>
      </w:r>
      <w:r>
        <w:rPr>
          <w:rFonts w:hint="eastAsia" w:ascii="仿宋" w:hAnsi="仿宋" w:cs="仿宋"/>
          <w:sz w:val="24"/>
          <w:u w:val="single"/>
          <w:lang w:val="en-US" w:eastAsia="zh-CN"/>
        </w:rPr>
        <w:t>贰</w:t>
      </w:r>
      <w:r>
        <w:rPr>
          <w:rFonts w:hint="eastAsia" w:ascii="仿宋" w:hAnsi="仿宋" w:eastAsia="仿宋" w:cs="仿宋"/>
          <w:sz w:val="24"/>
          <w:u w:val="single"/>
          <w:lang w:val="en-US" w:eastAsia="zh-CN"/>
        </w:rPr>
        <w:t>分</w:t>
      </w:r>
      <w:r>
        <w:rPr>
          <w:rFonts w:hint="eastAsia" w:ascii="仿宋" w:hAnsi="仿宋" w:eastAsia="仿宋" w:cs="仿宋"/>
          <w:sz w:val="24"/>
        </w:rPr>
        <w:t>（小写：</w:t>
      </w:r>
      <w:r>
        <w:rPr>
          <w:rFonts w:hint="eastAsia" w:ascii="仿宋" w:hAnsi="仿宋" w:eastAsia="仿宋" w:cs="仿宋"/>
          <w:sz w:val="24"/>
          <w:u w:val="single"/>
        </w:rPr>
        <w:t>¥</w:t>
      </w:r>
      <w:r>
        <w:rPr>
          <w:rFonts w:hint="eastAsia" w:ascii="仿宋" w:hAnsi="仿宋" w:cs="仿宋"/>
          <w:sz w:val="24"/>
          <w:u w:val="single"/>
          <w:lang w:val="en-US" w:eastAsia="zh-CN"/>
        </w:rPr>
        <w:t>91</w:t>
      </w:r>
      <w:r>
        <w:rPr>
          <w:rFonts w:hint="eastAsia" w:ascii="仿宋" w:hAnsi="仿宋" w:eastAsia="仿宋" w:cs="仿宋"/>
          <w:sz w:val="24"/>
          <w:u w:val="single"/>
        </w:rPr>
        <w:t>8,</w:t>
      </w:r>
      <w:r>
        <w:rPr>
          <w:rFonts w:hint="eastAsia" w:ascii="仿宋" w:hAnsi="仿宋" w:cs="仿宋"/>
          <w:sz w:val="24"/>
          <w:u w:val="single"/>
          <w:lang w:val="en-US" w:eastAsia="zh-CN"/>
        </w:rPr>
        <w:t>915242</w:t>
      </w:r>
      <w:r>
        <w:rPr>
          <w:rFonts w:hint="eastAsia" w:ascii="仿宋" w:hAnsi="仿宋" w:eastAsia="仿宋" w:cs="仿宋"/>
          <w:sz w:val="24"/>
          <w:u w:val="single"/>
        </w:rPr>
        <w:t>.</w:t>
      </w:r>
      <w:r>
        <w:rPr>
          <w:rFonts w:hint="eastAsia" w:ascii="仿宋" w:hAnsi="仿宋" w:cs="仿宋"/>
          <w:sz w:val="24"/>
          <w:u w:val="single"/>
          <w:lang w:val="en-US" w:eastAsia="zh-CN"/>
        </w:rPr>
        <w:t>62</w:t>
      </w:r>
      <w:r>
        <w:rPr>
          <w:rFonts w:hint="eastAsia" w:ascii="仿宋" w:hAnsi="仿宋" w:eastAsia="仿宋" w:cs="仿宋"/>
          <w:sz w:val="24"/>
        </w:rPr>
        <w:t>）</w:t>
      </w:r>
      <w:r>
        <w:rPr>
          <w:rFonts w:hint="eastAsia" w:ascii="仿宋" w:hAnsi="仿宋" w:cs="仿宋"/>
        </w:rPr>
        <w:t>。标的债权的具体情况详见本协议附件一《标的债权明细表》。</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tabs>
          <w:tab w:val="left" w:pos="1260"/>
        </w:tabs>
        <w:snapToGrid w:val="0"/>
        <w:spacing w:before="156" w:beforeLines="50" w:line="360" w:lineRule="auto"/>
        <w:ind w:right="-87" w:firstLine="480" w:firstLineChars="200"/>
        <w:rPr>
          <w:rFonts w:ascii="仿宋" w:hAnsi="仿宋" w:cs="仿宋"/>
          <w:lang w:eastAsia="zh-Hans"/>
        </w:rPr>
      </w:pPr>
      <w:r>
        <w:rPr>
          <w:rFonts w:ascii="仿宋" w:hAnsi="仿宋" w:cs="仿宋"/>
        </w:rPr>
        <w:t>3</w:t>
      </w:r>
      <w:r>
        <w:rPr>
          <w:rFonts w:hint="eastAsia" w:ascii="仿宋" w:hAnsi="仿宋" w:cs="仿宋"/>
          <w:lang w:eastAsia="zh-Hans"/>
        </w:rPr>
        <w:t>.</w:t>
      </w:r>
      <w:r>
        <w:rPr>
          <w:rFonts w:ascii="仿宋" w:hAnsi="仿宋" w:cs="仿宋"/>
          <w:lang w:eastAsia="zh-Hans"/>
        </w:rPr>
        <w:t>3 截至基准日，甲方维权过程中</w:t>
      </w:r>
      <w:bookmarkStart w:id="4" w:name="_Hlk113344944"/>
      <w:r>
        <w:rPr>
          <w:rFonts w:hint="eastAsia" w:ascii="仿宋" w:hAnsi="仿宋" w:cs="仿宋"/>
          <w:lang w:eastAsia="zh-Hans"/>
        </w:rPr>
        <w:t>已经发生应由债务人、担保人等责任主体承担但由甲方或原债权人垫付</w:t>
      </w:r>
      <w:r>
        <w:rPr>
          <w:rFonts w:ascii="仿宋" w:hAnsi="仿宋" w:cs="仿宋"/>
          <w:lang w:eastAsia="zh-Hans"/>
        </w:rPr>
        <w:t>的</w:t>
      </w:r>
      <w:r>
        <w:rPr>
          <w:rFonts w:hint="eastAsia" w:ascii="仿宋" w:hAnsi="仿宋" w:cs="仿宋"/>
          <w:lang w:eastAsia="zh-Hans"/>
        </w:rPr>
        <w:t>各类</w:t>
      </w:r>
      <w:r>
        <w:rPr>
          <w:rFonts w:ascii="仿宋" w:hAnsi="仿宋" w:cs="仿宋"/>
          <w:lang w:eastAsia="zh-Hans"/>
        </w:rPr>
        <w:t>维权费用</w:t>
      </w:r>
      <w:r>
        <w:rPr>
          <w:rFonts w:hint="eastAsia" w:ascii="仿宋" w:hAnsi="仿宋" w:cs="仿宋"/>
          <w:lang w:eastAsia="zh-Hans"/>
        </w:rPr>
        <w:t>（包括但不限于诉讼费、仲裁费、执行费用、保全费、公告费、鉴定费、评估费、律师费、债权转让通知及催收费用等）</w:t>
      </w:r>
      <w:bookmarkStart w:id="5" w:name="_Hlk136864495"/>
      <w:r>
        <w:rPr>
          <w:rFonts w:hint="eastAsia" w:ascii="仿宋" w:hAnsi="仿宋" w:cs="仿宋"/>
        </w:rPr>
        <w:t>、过渡期内与主债权相关的利息，一并转让给乙方。但如甲方及/或原债权人</w:t>
      </w:r>
      <w:bookmarkEnd w:id="4"/>
      <w:bookmarkEnd w:id="5"/>
      <w:r>
        <w:rPr>
          <w:rFonts w:hint="eastAsia" w:ascii="仿宋" w:hAnsi="仿宋" w:cs="仿宋"/>
          <w:lang w:eastAsia="zh-Hans"/>
        </w:rPr>
        <w:t>已垫付费用发生退费的，不属于乙方受让范围。</w:t>
      </w:r>
    </w:p>
    <w:p>
      <w:pPr>
        <w:pStyle w:val="3"/>
        <w:numPr>
          <w:ilvl w:val="255"/>
          <w:numId w:val="0"/>
        </w:numPr>
        <w:snapToGrid w:val="0"/>
        <w:spacing w:before="156" w:beforeLines="50" w:line="360" w:lineRule="auto"/>
        <w:ind w:right="-87" w:firstLine="482" w:firstLineChars="200"/>
      </w:pPr>
      <w:r>
        <w:rPr>
          <w:rFonts w:hint="eastAsia"/>
        </w:rPr>
        <w:t>第四条</w:t>
      </w:r>
      <w:r>
        <w:t xml:space="preserve">  </w:t>
      </w:r>
      <w:r>
        <w:rPr>
          <w:rFonts w:hint="eastAsia"/>
        </w:rPr>
        <w:t>标的债权转让</w:t>
      </w:r>
    </w:p>
    <w:p>
      <w:pPr>
        <w:tabs>
          <w:tab w:val="left" w:pos="1260"/>
        </w:tabs>
        <w:snapToGrid w:val="0"/>
        <w:spacing w:before="156" w:beforeLines="50" w:line="360" w:lineRule="auto"/>
        <w:ind w:right="-87" w:firstLine="480" w:firstLineChars="200"/>
        <w:rPr>
          <w:rFonts w:hint="eastAsia" w:ascii="仿宋" w:hAnsi="仿宋" w:cs="仿宋"/>
          <w:lang w:eastAsia="zh-CN"/>
        </w:rPr>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在遵守本协议条款和交割条件的前提下，甲方将自基准日（不含该日）起的标的债权的权利、权益、担保权利和利益均转让给乙方</w:t>
      </w:r>
      <w:r>
        <w:rPr>
          <w:rFonts w:hint="eastAsia" w:ascii="仿宋" w:hAnsi="仿宋" w:cs="仿宋"/>
          <w:lang w:eastAsia="zh-CN"/>
        </w:rPr>
        <w:t>：</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（1）</w:t>
      </w:r>
      <w:r>
        <w:rPr>
          <w:rFonts w:ascii="仿宋" w:hAnsi="仿宋" w:cs="仿宋"/>
        </w:rPr>
        <w:t>甲方对于标的债权的全部相关权益；</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（2）</w:t>
      </w:r>
      <w:bookmarkStart w:id="6" w:name="_Hlk136865217"/>
      <w:r>
        <w:rPr>
          <w:rFonts w:hint="eastAsia" w:ascii="仿宋" w:hAnsi="仿宋" w:cs="仿宋"/>
        </w:rPr>
        <w:t>标的债权所产生的到期或即将到期的全部现金或非现金资产回收扣除处置费用和过渡期服务报酬后的余额（不含回收现金利息或非现金资产产生的孳息）</w:t>
      </w:r>
      <w:bookmarkEnd w:id="6"/>
      <w:r>
        <w:rPr>
          <w:rFonts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snapToGrid w:val="0"/>
        <w:spacing w:before="156" w:beforeLines="50" w:line="360" w:lineRule="auto"/>
        <w:ind w:right="-87" w:firstLine="480" w:firstLineChars="200"/>
        <w:rPr>
          <w:rFonts w:hint="eastAsia"/>
          <w:lang w:eastAsia="zh-CN"/>
        </w:rPr>
      </w:pPr>
      <w:r>
        <w:rPr>
          <w:rFonts w:hint="eastAsia" w:ascii="仿宋" w:hAnsi="仿宋" w:cs="仿宋"/>
        </w:rPr>
        <w:t>（4）</w:t>
      </w:r>
      <w:r>
        <w:rPr>
          <w:rFonts w:ascii="仿宋" w:hAnsi="仿宋" w:cs="仿宋"/>
        </w:rPr>
        <w:t>与实现和执行标的债权相关的全部权利和法律救济。</w:t>
      </w:r>
    </w:p>
    <w:p>
      <w:pPr>
        <w:tabs>
          <w:tab w:val="left" w:pos="1260"/>
        </w:tabs>
        <w:snapToGrid w:val="0"/>
        <w:spacing w:before="156" w:beforeLines="50" w:line="360" w:lineRule="auto"/>
        <w:ind w:right="-87" w:firstLine="480" w:firstLineChars="200"/>
        <w:rPr>
          <w:rFonts w:ascii="仿宋" w:hAnsi="仿宋" w:cs="仿宋"/>
          <w:lang w:eastAsia="zh-Hans"/>
        </w:rPr>
      </w:pPr>
      <w:r>
        <w:rPr>
          <w:rFonts w:ascii="仿宋" w:hAnsi="仿宋" w:cs="仿宋"/>
        </w:rPr>
        <w:t>4</w:t>
      </w:r>
      <w:r>
        <w:rPr>
          <w:rFonts w:hint="eastAsia" w:ascii="仿宋" w:hAnsi="仿宋" w:cs="仿宋"/>
          <w:lang w:eastAsia="zh-Hans"/>
        </w:rPr>
        <w:t>.</w:t>
      </w:r>
      <w:r>
        <w:rPr>
          <w:rFonts w:ascii="仿宋" w:hAnsi="仿宋" w:cs="仿宋"/>
          <w:lang w:eastAsia="zh-Hans"/>
        </w:rPr>
        <w:t xml:space="preserve">2 </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snapToGrid w:val="0"/>
        <w:spacing w:before="156" w:beforeLines="50" w:line="360" w:lineRule="auto"/>
        <w:ind w:right="-87" w:firstLine="482" w:firstLineChars="200"/>
      </w:pPr>
      <w:r>
        <w:rPr>
          <w:rFonts w:hint="eastAsia"/>
        </w:rPr>
        <w:t>第五条</w:t>
      </w:r>
      <w:r>
        <w:t xml:space="preserve">  </w:t>
      </w:r>
      <w:r>
        <w:rPr>
          <w:rFonts w:hint="eastAsia"/>
        </w:rPr>
        <w:t>风险转移</w:t>
      </w:r>
    </w:p>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自基准日后，乙方应独立承担该等标的债权于基准日后发生或可能发生的任何已知或未知的损失、损害、风险或责任。</w:t>
      </w:r>
    </w:p>
    <w:p>
      <w:pPr>
        <w:pStyle w:val="3"/>
        <w:numPr>
          <w:ilvl w:val="255"/>
          <w:numId w:val="0"/>
        </w:numPr>
        <w:snapToGrid w:val="0"/>
        <w:spacing w:before="156" w:beforeLines="50" w:line="360" w:lineRule="auto"/>
        <w:ind w:right="-87" w:firstLine="482" w:firstLineChars="200"/>
      </w:pPr>
      <w:r>
        <w:rPr>
          <w:rFonts w:hint="eastAsia"/>
        </w:rPr>
        <w:t>第六条</w:t>
      </w:r>
      <w:r>
        <w:t xml:space="preserve">  </w:t>
      </w:r>
      <w:r>
        <w:rPr>
          <w:rFonts w:hint="eastAsia"/>
        </w:rPr>
        <w:t>转让价款、其他费用及支付</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6.1 </w:t>
      </w:r>
      <w:r>
        <w:rPr>
          <w:rFonts w:hint="eastAsia" w:ascii="仿宋" w:hAnsi="仿宋" w:cs="仿宋"/>
          <w:b/>
          <w:color w:val="000000"/>
        </w:rPr>
        <w:t>转让价款</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乙方确认，其因受让标的债权而需按照本条约定向甲方支付的转让价款为人民币</w:t>
      </w:r>
      <w:r>
        <w:rPr>
          <w:rFonts w:ascii="仿宋" w:hAnsi="仿宋" w:cs="仿宋"/>
        </w:rPr>
        <w:t xml:space="preserve">   </w:t>
      </w:r>
      <w:r>
        <w:rPr>
          <w:rFonts w:hint="eastAsia" w:ascii="仿宋" w:hAnsi="仿宋" w:cs="仿宋"/>
        </w:rPr>
        <w:t>元（小写：</w:t>
      </w:r>
      <w:r>
        <w:rPr>
          <w:rFonts w:ascii="仿宋" w:hAnsi="仿宋" w:cs="仿宋"/>
        </w:rPr>
        <w:t xml:space="preserve">    </w:t>
      </w:r>
      <w:r>
        <w:rPr>
          <w:rFonts w:hint="eastAsia" w:ascii="仿宋" w:hAnsi="仿宋" w:cs="仿宋"/>
        </w:rPr>
        <w:t>元）。</w:t>
      </w:r>
    </w:p>
    <w:p>
      <w:pPr>
        <w:tabs>
          <w:tab w:val="left" w:pos="1260"/>
        </w:tabs>
        <w:snapToGrid w:val="0"/>
        <w:spacing w:before="156" w:beforeLines="50" w:line="360" w:lineRule="auto"/>
        <w:ind w:right="-87" w:firstLine="482" w:firstLineChars="200"/>
        <w:rPr>
          <w:rFonts w:ascii="仿宋" w:hAnsi="仿宋" w:cs="仿宋"/>
          <w:b/>
          <w:bCs/>
        </w:rPr>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p>
      <w:pPr>
        <w:tabs>
          <w:tab w:val="left" w:pos="1260"/>
        </w:tabs>
        <w:snapToGrid w:val="0"/>
        <w:spacing w:before="156" w:beforeLines="50" w:line="360" w:lineRule="auto"/>
        <w:ind w:right="-87" w:firstLine="540" w:firstLineChars="224"/>
        <w:rPr>
          <w:rFonts w:ascii="仿宋" w:hAnsi="仿宋" w:cs="仿宋"/>
          <w:b/>
          <w:bCs/>
        </w:rPr>
      </w:pPr>
      <w:r>
        <w:rPr>
          <w:rFonts w:ascii="仿宋" w:hAnsi="仿宋" w:cs="仿宋"/>
          <w:b/>
          <w:bCs/>
        </w:rPr>
        <w:t xml:space="preserve">6.2 </w:t>
      </w:r>
      <w:r>
        <w:rPr>
          <w:rFonts w:hint="eastAsia" w:ascii="仿宋" w:hAnsi="仿宋" w:cs="仿宋"/>
          <w:b/>
          <w:bCs/>
        </w:rPr>
        <w:t>履约保证金</w:t>
      </w:r>
    </w:p>
    <w:p>
      <w:pPr>
        <w:tabs>
          <w:tab w:val="left" w:pos="1260"/>
        </w:tabs>
        <w:snapToGrid w:val="0"/>
        <w:spacing w:before="156" w:beforeLines="50" w:line="360" w:lineRule="auto"/>
        <w:ind w:right="-87" w:firstLine="480"/>
        <w:rPr>
          <w:rFonts w:hint="eastAsia" w:ascii="仿宋" w:hAnsi="仿宋" w:cs="仿宋"/>
          <w:b/>
          <w:bCs/>
        </w:rPr>
      </w:pPr>
      <w:r>
        <w:rPr>
          <w:rFonts w:ascii="仿宋" w:hAnsi="仿宋" w:cs="仿宋"/>
        </w:rPr>
        <w:t xml:space="preserve">6.2.1 </w:t>
      </w:r>
      <w:r>
        <w:rPr>
          <w:rFonts w:hint="eastAsia" w:ascii="仿宋" w:hAnsi="仿宋" w:cs="仿宋"/>
        </w:rPr>
        <w:t>乙方已于报价日前交纳投标</w:t>
      </w:r>
      <w:r>
        <w:rPr>
          <w:rFonts w:ascii="仿宋" w:hAnsi="仿宋" w:cs="仿宋"/>
        </w:rPr>
        <w:t>/竞价保证金</w:t>
      </w:r>
      <w:r>
        <w:rPr>
          <w:rFonts w:hint="eastAsia" w:ascii="仿宋" w:hAnsi="仿宋" w:cs="仿宋"/>
        </w:rPr>
        <w:t>人民币</w:t>
      </w:r>
      <w:r>
        <w:rPr>
          <w:rFonts w:hint="eastAsia" w:ascii="仿宋" w:hAnsi="仿宋" w:cs="仿宋"/>
          <w:lang w:eastAsia="zh-CN"/>
        </w:rPr>
        <w:t>肆仟</w:t>
      </w:r>
      <w:r>
        <w:rPr>
          <w:rFonts w:hint="eastAsia" w:ascii="仿宋" w:hAnsi="仿宋" w:cs="仿宋"/>
          <w:lang w:val="en-US" w:eastAsia="zh-CN"/>
        </w:rPr>
        <w:t>壹</w:t>
      </w:r>
      <w:r>
        <w:rPr>
          <w:rFonts w:hint="eastAsia" w:ascii="仿宋" w:hAnsi="仿宋" w:cs="仿宋"/>
          <w:lang w:eastAsia="zh-CN"/>
        </w:rPr>
        <w:t>佰</w:t>
      </w:r>
      <w:r>
        <w:rPr>
          <w:rFonts w:hint="eastAsia" w:ascii="仿宋" w:hAnsi="仿宋" w:cs="仿宋"/>
          <w:lang w:val="en-US" w:eastAsia="zh-CN"/>
        </w:rPr>
        <w:t>壹拾伍</w:t>
      </w:r>
      <w:r>
        <w:rPr>
          <w:rFonts w:hint="eastAsia" w:ascii="仿宋" w:hAnsi="仿宋" w:cs="仿宋"/>
          <w:lang w:eastAsia="zh-CN"/>
        </w:rPr>
        <w:t>万</w:t>
      </w:r>
      <w:r>
        <w:rPr>
          <w:rFonts w:hint="eastAsia" w:ascii="仿宋" w:hAnsi="仿宋" w:cs="仿宋"/>
          <w:lang w:val="en-US" w:eastAsia="zh-CN"/>
        </w:rPr>
        <w:t>壹仟柒佰元</w:t>
      </w:r>
      <w:r>
        <w:rPr>
          <w:rFonts w:hint="eastAsia" w:ascii="仿宋" w:hAnsi="仿宋" w:cs="仿宋"/>
        </w:rPr>
        <w:t>（小写</w:t>
      </w:r>
      <w:r>
        <w:rPr>
          <w:rFonts w:hint="eastAsia" w:ascii="仿宋" w:hAnsi="仿宋" w:cs="仿宋"/>
          <w:lang w:val="en-US" w:eastAsia="zh-CN"/>
        </w:rPr>
        <w:t>：¥4，115.17</w:t>
      </w:r>
      <w:r>
        <w:rPr>
          <w:rFonts w:hint="eastAsia" w:ascii="仿宋" w:hAnsi="仿宋" w:cs="仿宋"/>
        </w:rPr>
        <w:t>万元），该投标</w:t>
      </w:r>
      <w:r>
        <w:rPr>
          <w:rFonts w:ascii="仿宋" w:hAnsi="仿宋" w:cs="仿宋"/>
        </w:rPr>
        <w:t>/竞价保证金（不计利息）</w:t>
      </w:r>
      <w:bookmarkStart w:id="7" w:name="_Hlk136738659"/>
      <w:r>
        <w:rPr>
          <w:rFonts w:hint="eastAsia" w:ascii="仿宋" w:hAnsi="仿宋" w:cs="仿宋"/>
        </w:rPr>
        <w:t>在《成交确认书》/《挂牌结果通知单》出具当日自动转为乙方与甲方签署本协议的缔约定金（不计利息）。</w:t>
      </w:r>
      <w:bookmarkEnd w:id="7"/>
      <w:r>
        <w:rPr>
          <w:rFonts w:ascii="仿宋" w:hAnsi="仿宋" w:cs="仿宋"/>
        </w:rPr>
        <w:t>在本协议签署且甲方收到公开招标/竞价平台划付的款项后可等额冲抵为其应支付的履约保证金金额。</w:t>
      </w:r>
      <w:r>
        <w:rPr>
          <w:rFonts w:hint="eastAsia" w:ascii="仿宋" w:hAnsi="仿宋" w:cs="仿宋"/>
        </w:rPr>
        <w:t>投标</w:t>
      </w:r>
      <w:r>
        <w:rPr>
          <w:rFonts w:ascii="仿宋" w:hAnsi="仿宋" w:cs="仿宋"/>
        </w:rPr>
        <w:t>/竞价</w:t>
      </w:r>
      <w:r>
        <w:rPr>
          <w:rFonts w:hint="eastAsia" w:ascii="仿宋" w:hAnsi="仿宋" w:cs="仿宋"/>
        </w:rPr>
        <w:t>保证金</w:t>
      </w:r>
      <w:r>
        <w:rPr>
          <w:rFonts w:hint="eastAsia" w:ascii="仿宋" w:hAnsi="仿宋"/>
        </w:rPr>
        <w:t>金额若不足以充抵履约保证金的，</w:t>
      </w:r>
      <w:r>
        <w:rPr>
          <w:rFonts w:ascii="仿宋" w:hAnsi="仿宋"/>
        </w:rPr>
        <w:t>乙方应当在本协议成立后</w:t>
      </w:r>
      <w:r>
        <w:rPr>
          <w:rFonts w:hint="eastAsia" w:ascii="仿宋" w:hAnsi="仿宋"/>
          <w:lang w:val="en-US" w:eastAsia="zh-CN"/>
        </w:rPr>
        <w:t>3</w:t>
      </w:r>
      <w:r>
        <w:rPr>
          <w:rFonts w:hint="eastAsia" w:ascii="仿宋" w:hAnsi="仿宋"/>
        </w:rPr>
        <w:t>日内补足差额。</w:t>
      </w:r>
    </w:p>
    <w:p>
      <w:pPr>
        <w:tabs>
          <w:tab w:val="left" w:pos="1260"/>
        </w:tabs>
        <w:snapToGrid w:val="0"/>
        <w:spacing w:before="156" w:beforeLines="50" w:line="360" w:lineRule="auto"/>
        <w:ind w:right="-87" w:firstLine="480"/>
        <w:rPr>
          <w:rFonts w:hint="eastAsia" w:ascii="仿宋" w:hAnsi="仿宋" w:cs="仿宋"/>
        </w:rPr>
      </w:pPr>
      <w:r>
        <w:rPr>
          <w:rFonts w:hint="eastAsia" w:ascii="仿宋" w:hAnsi="仿宋" w:cs="仿宋"/>
        </w:rPr>
        <w:t>6.2.2</w:t>
      </w:r>
      <w:r>
        <w:rPr>
          <w:rFonts w:ascii="仿宋" w:hAnsi="仿宋" w:cs="仿宋"/>
        </w:rPr>
        <w:t xml:space="preserve"> </w:t>
      </w:r>
      <w:r>
        <w:rPr>
          <w:rFonts w:hint="eastAsia" w:ascii="仿宋" w:hAnsi="仿宋" w:cs="仿宋"/>
        </w:rPr>
        <w:t>履约保证金不计利息，当乙方未支付的剩余转让价款等于或少于履约保证金</w:t>
      </w:r>
      <w:bookmarkStart w:id="8" w:name="_Hlk136562628"/>
      <w:r>
        <w:rPr>
          <w:rFonts w:hint="eastAsia" w:ascii="仿宋" w:hAnsi="仿宋"/>
        </w:rPr>
        <w:t>且乙方不存在违反本协议任一约定</w:t>
      </w:r>
      <w:bookmarkEnd w:id="8"/>
      <w:r>
        <w:rPr>
          <w:rFonts w:hint="eastAsia" w:ascii="仿宋" w:hAnsi="仿宋" w:cs="仿宋"/>
        </w:rPr>
        <w:t>时，乙方支付的履约保证金可等额冲抵乙方应向甲方支付的剩余转让价款。</w:t>
      </w:r>
    </w:p>
    <w:p>
      <w:pPr>
        <w:tabs>
          <w:tab w:val="left" w:pos="1260"/>
        </w:tabs>
        <w:snapToGrid w:val="0"/>
        <w:spacing w:line="360" w:lineRule="auto"/>
        <w:ind w:firstLine="480" w:firstLineChars="200"/>
        <w:rPr>
          <w:rFonts w:hint="default" w:ascii="仿宋" w:hAnsi="仿宋" w:cs="仿宋"/>
        </w:rPr>
      </w:pPr>
      <w:r>
        <w:rPr>
          <w:rFonts w:hint="eastAsia" w:ascii="仿宋" w:hAnsi="仿宋" w:cs="仿宋"/>
          <w:lang w:val="en-US" w:eastAsia="zh-CN"/>
        </w:rPr>
        <w:t>6.2.3 为免歧义，前述</w:t>
      </w:r>
      <w:r>
        <w:rPr>
          <w:rFonts w:hint="eastAsia" w:ascii="仿宋" w:hAnsi="仿宋" w:cs="仿宋"/>
        </w:rPr>
        <w:t>投标</w:t>
      </w:r>
      <w:r>
        <w:rPr>
          <w:rFonts w:ascii="仿宋" w:hAnsi="仿宋" w:cs="仿宋"/>
        </w:rPr>
        <w:t>/竞价保证金</w:t>
      </w:r>
      <w:r>
        <w:rPr>
          <w:rFonts w:hint="eastAsia" w:ascii="仿宋" w:hAnsi="仿宋" w:cs="仿宋"/>
          <w:lang w:val="en-US" w:eastAsia="zh-CN"/>
        </w:rPr>
        <w:t>以及履约保证金，无论在冲抵剩余转让价款之前或之后，即无论前述</w:t>
      </w:r>
      <w:r>
        <w:rPr>
          <w:rFonts w:hint="eastAsia" w:ascii="仿宋" w:hAnsi="仿宋" w:cs="仿宋"/>
        </w:rPr>
        <w:t>投标</w:t>
      </w:r>
      <w:r>
        <w:rPr>
          <w:rFonts w:ascii="仿宋" w:hAnsi="仿宋" w:cs="仿宋"/>
        </w:rPr>
        <w:t>/竞价保证金</w:t>
      </w:r>
      <w:r>
        <w:rPr>
          <w:rFonts w:hint="eastAsia" w:ascii="仿宋" w:hAnsi="仿宋" w:cs="仿宋"/>
          <w:lang w:val="en-US" w:eastAsia="zh-CN"/>
        </w:rPr>
        <w:t>以及履约保证金是否冲抵乙方应向甲方支付的剩余价款，均视作乙方向甲方担保其按本协议约定数额及期限履行全部转让价值支付义务的担保措施之一，在乙方未能按本协议约定数额及期限足额支付全部转让价款时，甲方可以予以没收，且在此基础上甲方仍可以同时追究乙方的其他违约责任、侵权责任。</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 xml:space="preserve">6.3 </w:t>
      </w:r>
      <w:r>
        <w:rPr>
          <w:rFonts w:hint="eastAsia" w:ascii="仿宋" w:hAnsi="仿宋" w:cs="仿宋"/>
          <w:b/>
          <w:bCs/>
        </w:rPr>
        <w:t>转让价款及其他款项的支付</w:t>
      </w:r>
    </w:p>
    <w:p>
      <w:pPr>
        <w:tabs>
          <w:tab w:val="left" w:pos="1260"/>
        </w:tabs>
        <w:wordWrap/>
        <w:adjustRightInd/>
        <w:snapToGrid w:val="0"/>
        <w:spacing w:line="360" w:lineRule="auto"/>
        <w:ind w:right="0" w:firstLine="480" w:firstLineChars="200"/>
        <w:textAlignment w:val="auto"/>
        <w:rPr>
          <w:rFonts w:ascii="仿宋" w:hAnsi="仿宋" w:cs="仿宋"/>
        </w:rPr>
      </w:pPr>
      <w:r>
        <w:rPr>
          <w:rFonts w:hint="eastAsia" w:ascii="仿宋" w:hAnsi="仿宋" w:cs="仿宋"/>
        </w:rPr>
        <w:t>6.3.1甲方同意乙方按照下列</w:t>
      </w:r>
      <w:r>
        <w:rPr>
          <w:rFonts w:ascii="仿宋" w:hAnsi="仿宋" w:cs="仿宋"/>
          <w:u w:val="single"/>
        </w:rPr>
        <w:t xml:space="preserve">   </w:t>
      </w:r>
      <w:r>
        <w:rPr>
          <w:rFonts w:hint="eastAsia" w:ascii="仿宋" w:hAnsi="仿宋" w:cs="仿宋"/>
          <w:u w:val="single"/>
          <w:lang w:val="en-US" w:eastAsia="zh-CN"/>
        </w:rPr>
        <w:t xml:space="preserve"> </w:t>
      </w:r>
      <w:r>
        <w:rPr>
          <w:rFonts w:hint="eastAsia" w:ascii="仿宋" w:hAnsi="仿宋" w:cs="仿宋"/>
        </w:rPr>
        <w:t>条约定的方式支付转让价款：</w:t>
      </w:r>
    </w:p>
    <w:p>
      <w:pPr>
        <w:tabs>
          <w:tab w:val="left" w:pos="1260"/>
        </w:tabs>
        <w:wordWrap/>
        <w:adjustRightInd/>
        <w:snapToGrid w:val="0"/>
        <w:spacing w:line="360" w:lineRule="auto"/>
        <w:ind w:right="0" w:firstLine="480" w:firstLineChars="200"/>
        <w:textAlignment w:val="auto"/>
        <w:rPr>
          <w:rFonts w:ascii="仿宋" w:hAnsi="仿宋" w:cs="仿宋"/>
          <w:highlight w:val="none"/>
        </w:rPr>
      </w:pPr>
      <w:r>
        <w:rPr>
          <w:rFonts w:hint="eastAsia" w:ascii="仿宋" w:hAnsi="仿宋" w:cs="仿宋"/>
        </w:rPr>
        <w:t>（</w:t>
      </w:r>
      <w:r>
        <w:rPr>
          <w:rFonts w:ascii="仿宋" w:hAnsi="仿宋" w:cs="仿宋"/>
        </w:rPr>
        <w:t>1）</w:t>
      </w:r>
      <w:r>
        <w:rPr>
          <w:rFonts w:hint="eastAsia" w:ascii="仿宋" w:hAnsi="仿宋" w:cs="仿宋"/>
        </w:rPr>
        <w:t>乙方确认将采取一次性付款的方式向甲方支付转让价款及其他</w:t>
      </w:r>
      <w:r>
        <w:rPr>
          <w:rFonts w:hint="eastAsia" w:ascii="仿宋" w:hAnsi="仿宋" w:cs="仿宋"/>
          <w:lang w:val="en-US" w:eastAsia="zh-CN"/>
        </w:rPr>
        <w:t>应付</w:t>
      </w:r>
      <w:r>
        <w:rPr>
          <w:rFonts w:hint="eastAsia" w:ascii="仿宋" w:hAnsi="仿宋" w:cs="仿宋"/>
        </w:rPr>
        <w:t>款项，乙方应在本协议生效之日起</w:t>
      </w:r>
      <w:r>
        <w:rPr>
          <w:rFonts w:hint="eastAsia" w:ascii="仿宋" w:hAnsi="仿宋" w:cs="仿宋"/>
          <w:u w:val="single"/>
          <w:lang w:val="en-US" w:eastAsia="zh-CN"/>
        </w:rPr>
        <w:t>贰</w:t>
      </w:r>
      <w:r>
        <w:rPr>
          <w:rFonts w:hint="eastAsia" w:ascii="仿宋" w:hAnsi="仿宋" w:cs="仿宋"/>
        </w:rPr>
        <w:t>日内</w:t>
      </w:r>
      <w:r>
        <w:rPr>
          <w:rFonts w:hint="eastAsia" w:ascii="仿宋" w:hAnsi="仿宋" w:cs="仿宋"/>
          <w:highlight w:val="none"/>
        </w:rPr>
        <w:t>向甲方支付本协议第6.1条约定的</w:t>
      </w:r>
      <w:r>
        <w:rPr>
          <w:rFonts w:hint="eastAsia" w:ascii="仿宋" w:hAnsi="仿宋" w:cs="仿宋"/>
          <w:highlight w:val="none"/>
          <w:lang w:val="en-US" w:eastAsia="zh-CN"/>
        </w:rPr>
        <w:t>全部</w:t>
      </w:r>
      <w:r>
        <w:rPr>
          <w:rFonts w:hint="eastAsia" w:ascii="仿宋" w:hAnsi="仿宋" w:cs="仿宋"/>
          <w:highlight w:val="none"/>
        </w:rPr>
        <w:t>转让价款及其他应付款项。</w:t>
      </w:r>
    </w:p>
    <w:p>
      <w:pPr>
        <w:numPr>
          <w:ilvl w:val="0"/>
          <w:numId w:val="0"/>
        </w:numPr>
        <w:tabs>
          <w:tab w:val="left" w:pos="1260"/>
        </w:tabs>
        <w:wordWrap/>
        <w:adjustRightInd/>
        <w:snapToGrid w:val="0"/>
        <w:spacing w:line="360" w:lineRule="auto"/>
        <w:ind w:right="0" w:firstLine="480" w:firstLineChars="200"/>
        <w:textAlignment w:val="auto"/>
        <w:rPr>
          <w:rFonts w:ascii="仿宋" w:hAnsi="仿宋" w:cs="仿宋"/>
        </w:rPr>
      </w:pPr>
      <w:r>
        <w:rPr>
          <w:rFonts w:hint="eastAsia" w:ascii="仿宋" w:hAnsi="仿宋" w:cs="仿宋"/>
        </w:rPr>
        <w:t>（</w:t>
      </w:r>
      <w:r>
        <w:rPr>
          <w:rFonts w:ascii="仿宋" w:hAnsi="仿宋" w:cs="仿宋"/>
        </w:rPr>
        <w:t>2）乙方确认采取分期付款方式</w:t>
      </w:r>
      <w:r>
        <w:rPr>
          <w:rFonts w:hint="eastAsia" w:ascii="仿宋" w:hAnsi="仿宋" w:cs="仿宋"/>
        </w:rPr>
        <w:t>并按照如下约定</w:t>
      </w:r>
      <w:r>
        <w:rPr>
          <w:rFonts w:ascii="仿宋" w:hAnsi="仿宋" w:cs="仿宋"/>
        </w:rPr>
        <w:t>支付转让价款：</w:t>
      </w:r>
    </w:p>
    <w:tbl>
      <w:tblPr>
        <w:tblStyle w:val="8"/>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040"/>
        <w:gridCol w:w="400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top"/>
          </w:tcPr>
          <w:p>
            <w:pPr>
              <w:numPr>
                <w:ilvl w:val="0"/>
                <w:numId w:val="0"/>
              </w:numPr>
              <w:tabs>
                <w:tab w:val="left" w:pos="1260"/>
              </w:tabs>
              <w:wordWrap/>
              <w:adjustRightInd/>
              <w:snapToGrid w:val="0"/>
              <w:spacing w:line="360" w:lineRule="auto"/>
              <w:ind w:right="0"/>
              <w:textAlignment w:val="auto"/>
              <w:rPr>
                <w:rFonts w:ascii="仿宋" w:hAnsi="仿宋" w:cs="仿宋"/>
                <w:b/>
                <w:bCs/>
              </w:rPr>
            </w:pPr>
            <w:r>
              <w:rPr>
                <w:rFonts w:hint="eastAsia" w:ascii="仿宋" w:hAnsi="仿宋" w:cs="仿宋"/>
                <w:b/>
                <w:bCs/>
              </w:rPr>
              <w:t>各期付款</w:t>
            </w:r>
          </w:p>
        </w:tc>
        <w:tc>
          <w:tcPr>
            <w:tcW w:w="2040" w:type="dxa"/>
            <w:vAlign w:val="top"/>
          </w:tcPr>
          <w:p>
            <w:pPr>
              <w:numPr>
                <w:ilvl w:val="0"/>
                <w:numId w:val="0"/>
              </w:numPr>
              <w:tabs>
                <w:tab w:val="left" w:pos="1260"/>
              </w:tabs>
              <w:wordWrap/>
              <w:adjustRightInd/>
              <w:snapToGrid w:val="0"/>
              <w:spacing w:line="360" w:lineRule="auto"/>
              <w:ind w:right="0" w:firstLine="482" w:firstLineChars="200"/>
              <w:textAlignment w:val="auto"/>
              <w:rPr>
                <w:rFonts w:ascii="仿宋" w:hAnsi="仿宋" w:cs="仿宋"/>
                <w:b/>
                <w:bCs/>
              </w:rPr>
            </w:pPr>
            <w:r>
              <w:rPr>
                <w:rFonts w:hint="eastAsia" w:ascii="仿宋" w:hAnsi="仿宋" w:cs="仿宋"/>
                <w:b/>
                <w:bCs/>
              </w:rPr>
              <w:t>支付时间</w:t>
            </w:r>
          </w:p>
        </w:tc>
        <w:tc>
          <w:tcPr>
            <w:tcW w:w="4008" w:type="dxa"/>
            <w:vAlign w:val="top"/>
          </w:tcPr>
          <w:p>
            <w:pPr>
              <w:numPr>
                <w:ilvl w:val="0"/>
                <w:numId w:val="0"/>
              </w:numPr>
              <w:tabs>
                <w:tab w:val="left" w:pos="1260"/>
              </w:tabs>
              <w:wordWrap/>
              <w:adjustRightInd/>
              <w:snapToGrid w:val="0"/>
              <w:spacing w:line="360" w:lineRule="auto"/>
              <w:ind w:right="0" w:firstLine="723" w:firstLineChars="300"/>
              <w:textAlignment w:val="auto"/>
              <w:rPr>
                <w:rFonts w:ascii="仿宋" w:hAnsi="仿宋" w:cs="仿宋"/>
                <w:b/>
                <w:bCs/>
              </w:rPr>
            </w:pPr>
            <w:r>
              <w:rPr>
                <w:rFonts w:hint="eastAsia" w:ascii="仿宋" w:hAnsi="仿宋" w:cs="仿宋"/>
                <w:b/>
                <w:bCs/>
              </w:rPr>
              <w:t>应付金额</w:t>
            </w:r>
          </w:p>
        </w:tc>
        <w:tc>
          <w:tcPr>
            <w:tcW w:w="1443" w:type="dxa"/>
            <w:vAlign w:val="top"/>
          </w:tcPr>
          <w:p>
            <w:pPr>
              <w:numPr>
                <w:ilvl w:val="0"/>
                <w:numId w:val="0"/>
              </w:numPr>
              <w:tabs>
                <w:tab w:val="left" w:pos="1260"/>
              </w:tabs>
              <w:wordWrap/>
              <w:adjustRightInd/>
              <w:snapToGrid w:val="0"/>
              <w:spacing w:line="360" w:lineRule="auto"/>
              <w:ind w:right="0"/>
              <w:textAlignment w:val="auto"/>
              <w:rPr>
                <w:rFonts w:ascii="仿宋" w:hAnsi="仿宋" w:cs="仿宋"/>
                <w:b/>
                <w:bCs/>
              </w:rPr>
            </w:pPr>
            <w:r>
              <w:rPr>
                <w:rFonts w:hint="eastAsia" w:ascii="仿宋" w:hAnsi="仿宋" w:cs="仿宋"/>
                <w:b/>
                <w:bCs/>
              </w:rPr>
              <w:t>资金占用费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pPr>
              <w:numPr>
                <w:ilvl w:val="0"/>
                <w:numId w:val="0"/>
              </w:numPr>
              <w:tabs>
                <w:tab w:val="left" w:pos="1260"/>
              </w:tabs>
              <w:wordWrap/>
              <w:adjustRightInd/>
              <w:snapToGrid w:val="0"/>
              <w:spacing w:line="240" w:lineRule="auto"/>
              <w:ind w:right="0"/>
              <w:jc w:val="center"/>
              <w:textAlignment w:val="auto"/>
              <w:rPr>
                <w:rFonts w:ascii="仿宋" w:hAnsi="仿宋" w:cs="仿宋"/>
              </w:rPr>
            </w:pPr>
            <w:r>
              <w:rPr>
                <w:rFonts w:hint="eastAsia" w:ascii="仿宋" w:hAnsi="仿宋" w:cs="仿宋"/>
              </w:rPr>
              <w:t>首期转让价款</w:t>
            </w:r>
          </w:p>
        </w:tc>
        <w:tc>
          <w:tcPr>
            <w:tcW w:w="2040" w:type="dxa"/>
            <w:vAlign w:val="center"/>
          </w:tcPr>
          <w:p>
            <w:pPr>
              <w:numPr>
                <w:ilvl w:val="0"/>
                <w:numId w:val="0"/>
              </w:numPr>
              <w:tabs>
                <w:tab w:val="left" w:pos="1260"/>
              </w:tabs>
              <w:wordWrap/>
              <w:adjustRightInd/>
              <w:snapToGrid w:val="0"/>
              <w:spacing w:line="240" w:lineRule="auto"/>
              <w:ind w:right="0"/>
              <w:jc w:val="center"/>
              <w:textAlignment w:val="auto"/>
              <w:rPr>
                <w:rFonts w:hint="eastAsia" w:ascii="仿宋" w:hAnsi="仿宋" w:eastAsia="仿宋" w:cs="仿宋"/>
                <w:lang w:val="en-US" w:eastAsia="zh-CN"/>
              </w:rPr>
            </w:pPr>
            <w:r>
              <w:rPr>
                <w:rFonts w:hint="eastAsia" w:ascii="仿宋" w:hAnsi="仿宋" w:cs="仿宋"/>
              </w:rPr>
              <w:t>本协议签订</w:t>
            </w:r>
            <w:r>
              <w:rPr>
                <w:rFonts w:hint="eastAsia" w:ascii="仿宋" w:hAnsi="仿宋" w:cs="仿宋"/>
                <w:lang w:val="en-US" w:eastAsia="zh-CN"/>
              </w:rPr>
              <w:t>当日</w:t>
            </w:r>
          </w:p>
        </w:tc>
        <w:tc>
          <w:tcPr>
            <w:tcW w:w="4008" w:type="dxa"/>
            <w:vAlign w:val="center"/>
          </w:tcPr>
          <w:p>
            <w:pPr>
              <w:numPr>
                <w:ilvl w:val="0"/>
                <w:numId w:val="0"/>
              </w:numPr>
              <w:tabs>
                <w:tab w:val="left" w:pos="1260"/>
              </w:tabs>
              <w:wordWrap/>
              <w:adjustRightInd/>
              <w:snapToGrid w:val="0"/>
              <w:spacing w:line="240" w:lineRule="auto"/>
              <w:ind w:right="0"/>
              <w:jc w:val="left"/>
              <w:textAlignment w:val="auto"/>
              <w:rPr>
                <w:rFonts w:hint="eastAsia" w:ascii="仿宋" w:hAnsi="仿宋" w:eastAsia="仿宋" w:cs="仿宋"/>
                <w:lang w:val="en-US" w:eastAsia="zh-CN"/>
              </w:rPr>
            </w:pPr>
            <w:r>
              <w:rPr>
                <w:rFonts w:hint="eastAsia" w:ascii="仿宋" w:hAnsi="仿宋" w:cs="仿宋"/>
              </w:rPr>
              <w:t>首期转让价款金额</w:t>
            </w:r>
            <w:r>
              <w:rPr>
                <w:rFonts w:ascii="仿宋" w:hAnsi="仿宋" w:cs="仿宋"/>
              </w:rPr>
              <w:t>：</w:t>
            </w:r>
            <w:r>
              <w:rPr>
                <w:rFonts w:hint="eastAsia" w:ascii="仿宋" w:hAnsi="仿宋" w:eastAsia="仿宋" w:cs="仿宋"/>
                <w:b/>
                <w:bCs/>
                <w:color w:val="auto"/>
                <w:sz w:val="24"/>
                <w:szCs w:val="24"/>
                <w:highlight w:val="none"/>
                <w:lang w:val="en-US" w:eastAsia="zh-CN"/>
              </w:rPr>
              <w:t>按</w:t>
            </w:r>
            <w:r>
              <w:rPr>
                <w:rFonts w:hint="eastAsia" w:ascii="仿宋" w:hAnsi="仿宋" w:cs="仿宋"/>
                <w:b/>
                <w:bCs/>
                <w:color w:val="auto"/>
                <w:sz w:val="24"/>
                <w:szCs w:val="24"/>
                <w:highlight w:val="none"/>
                <w:lang w:val="en-US" w:eastAsia="zh-CN"/>
              </w:rPr>
              <w:t>12</w:t>
            </w:r>
            <w:r>
              <w:rPr>
                <w:rFonts w:hint="eastAsia" w:ascii="仿宋" w:hAnsi="仿宋" w:cs="仿宋"/>
                <w:b/>
                <w:bCs/>
                <w:color w:val="auto"/>
                <w:sz w:val="24"/>
                <w:szCs w:val="24"/>
                <w:highlight w:val="none"/>
                <w:lang w:val="en-US" w:eastAsia="zh-CN"/>
              </w:rPr>
              <w:t>,</w:t>
            </w:r>
            <w:r>
              <w:rPr>
                <w:rFonts w:hint="eastAsia" w:ascii="仿宋" w:hAnsi="仿宋" w:cs="仿宋"/>
                <w:b/>
                <w:bCs/>
                <w:color w:val="auto"/>
                <w:sz w:val="24"/>
                <w:szCs w:val="24"/>
                <w:highlight w:val="none"/>
                <w:lang w:val="en-US" w:eastAsia="zh-CN"/>
              </w:rPr>
              <w:t>345.50</w:t>
            </w:r>
            <w:r>
              <w:rPr>
                <w:rFonts w:hint="eastAsia" w:ascii="仿宋" w:hAnsi="仿宋" w:eastAsia="仿宋" w:cs="仿宋"/>
                <w:b/>
                <w:bCs/>
                <w:color w:val="auto"/>
                <w:sz w:val="24"/>
                <w:szCs w:val="24"/>
                <w:highlight w:val="none"/>
                <w:lang w:val="en-US" w:eastAsia="zh-CN"/>
              </w:rPr>
              <w:t>元与最终成交价的30%孰高原则确定</w:t>
            </w:r>
            <w:r>
              <w:rPr>
                <w:rFonts w:hint="eastAsia" w:ascii="仿宋" w:hAnsi="仿宋" w:eastAsia="仿宋" w:cs="仿宋"/>
                <w:color w:val="auto"/>
                <w:sz w:val="24"/>
                <w:szCs w:val="24"/>
                <w:highlight w:val="none"/>
                <w:lang w:val="en-US" w:eastAsia="zh-CN"/>
              </w:rPr>
              <w:t>，即</w:t>
            </w:r>
            <w:r>
              <w:rPr>
                <w:rFonts w:hint="eastAsia" w:ascii="仿宋" w:hAnsi="仿宋" w:cs="仿宋"/>
              </w:rPr>
              <w:t>人民币</w:t>
            </w:r>
            <w:r>
              <w:rPr>
                <w:rFonts w:hint="eastAsia" w:ascii="仿宋" w:hAnsi="仿宋" w:cs="仿宋"/>
                <w:lang w:val="en-US" w:eastAsia="zh-CN"/>
              </w:rPr>
              <w:t xml:space="preserve">    </w:t>
            </w:r>
            <w:r>
              <w:rPr>
                <w:rFonts w:hint="eastAsia" w:ascii="仿宋" w:hAnsi="仿宋" w:cs="仿宋"/>
              </w:rPr>
              <w:t>元（小写：</w:t>
            </w:r>
            <w:r>
              <w:rPr>
                <w:rFonts w:hint="eastAsia" w:ascii="仿宋" w:hAnsi="仿宋" w:eastAsia="仿宋" w:cs="仿宋"/>
              </w:rPr>
              <w:t>￥</w:t>
            </w:r>
            <w:r>
              <w:rPr>
                <w:rFonts w:hint="eastAsia" w:ascii="仿宋" w:hAnsi="仿宋" w:cs="仿宋"/>
                <w:lang w:val="en-US" w:eastAsia="zh-CN"/>
              </w:rPr>
              <w:t xml:space="preserve">            </w:t>
            </w:r>
            <w:r>
              <w:rPr>
                <w:rFonts w:hint="eastAsia" w:ascii="仿宋" w:hAnsi="仿宋" w:cs="仿宋"/>
              </w:rPr>
              <w:t>）</w:t>
            </w:r>
          </w:p>
        </w:tc>
        <w:tc>
          <w:tcPr>
            <w:tcW w:w="1443" w:type="dxa"/>
            <w:vAlign w:val="center"/>
          </w:tcPr>
          <w:p>
            <w:pPr>
              <w:numPr>
                <w:ilvl w:val="0"/>
                <w:numId w:val="0"/>
              </w:numPr>
              <w:tabs>
                <w:tab w:val="left" w:pos="1260"/>
              </w:tabs>
              <w:wordWrap/>
              <w:adjustRightInd/>
              <w:snapToGrid w:val="0"/>
              <w:spacing w:line="240" w:lineRule="auto"/>
              <w:ind w:right="0" w:firstLine="0" w:firstLineChars="0"/>
              <w:jc w:val="center"/>
              <w:textAlignment w:val="auto"/>
              <w:rPr>
                <w:rFonts w:hint="eastAsia" w:ascii="仿宋" w:hAnsi="仿宋" w:eastAsia="仿宋" w:cs="仿宋"/>
                <w:lang w:val="en-US" w:eastAsia="zh-CN"/>
              </w:rPr>
            </w:pPr>
            <w:r>
              <w:rPr>
                <w:rFonts w:hint="eastAsia" w:ascii="仿宋" w:hAnsi="仿宋" w:cs="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pPr>
              <w:numPr>
                <w:ilvl w:val="0"/>
                <w:numId w:val="0"/>
              </w:numPr>
              <w:tabs>
                <w:tab w:val="left" w:pos="1260"/>
              </w:tabs>
              <w:wordWrap/>
              <w:adjustRightInd/>
              <w:snapToGrid w:val="0"/>
              <w:spacing w:line="240" w:lineRule="auto"/>
              <w:ind w:right="0"/>
              <w:jc w:val="center"/>
              <w:textAlignment w:val="auto"/>
              <w:rPr>
                <w:rFonts w:hint="eastAsia" w:ascii="仿宋" w:hAnsi="仿宋" w:eastAsia="仿宋" w:cs="仿宋"/>
                <w:lang w:val="en-US" w:eastAsia="zh-CN"/>
              </w:rPr>
            </w:pPr>
            <w:r>
              <w:rPr>
                <w:rFonts w:hint="eastAsia" w:ascii="仿宋" w:hAnsi="仿宋" w:cs="仿宋"/>
                <w:lang w:val="en-US" w:eastAsia="zh-CN"/>
              </w:rPr>
              <w:t>剩余未付转让价款</w:t>
            </w:r>
          </w:p>
        </w:tc>
        <w:tc>
          <w:tcPr>
            <w:tcW w:w="2040" w:type="dxa"/>
            <w:vAlign w:val="center"/>
          </w:tcPr>
          <w:p>
            <w:pPr>
              <w:numPr>
                <w:ilvl w:val="0"/>
                <w:numId w:val="0"/>
              </w:numPr>
              <w:tabs>
                <w:tab w:val="left" w:pos="1260"/>
              </w:tabs>
              <w:wordWrap/>
              <w:adjustRightInd/>
              <w:snapToGrid w:val="0"/>
              <w:spacing w:line="240" w:lineRule="auto"/>
              <w:ind w:right="0"/>
              <w:jc w:val="left"/>
              <w:textAlignment w:val="auto"/>
              <w:rPr>
                <w:rFonts w:hint="eastAsia" w:ascii="仿宋" w:hAnsi="仿宋" w:eastAsia="仿宋" w:cs="仿宋"/>
                <w:lang w:val="en-US" w:eastAsia="zh-CN"/>
              </w:rPr>
            </w:pPr>
            <w:r>
              <w:rPr>
                <w:rFonts w:hint="eastAsia" w:ascii="仿宋" w:hAnsi="仿宋" w:cs="仿宋"/>
                <w:highlight w:val="none"/>
                <w:lang w:val="en-US" w:eastAsia="zh-CN"/>
              </w:rPr>
              <w:t>2025年11月30日前</w:t>
            </w:r>
          </w:p>
        </w:tc>
        <w:tc>
          <w:tcPr>
            <w:tcW w:w="4008" w:type="dxa"/>
            <w:vAlign w:val="center"/>
          </w:tcPr>
          <w:p>
            <w:pPr>
              <w:numPr>
                <w:ilvl w:val="0"/>
                <w:numId w:val="0"/>
              </w:numPr>
              <w:tabs>
                <w:tab w:val="left" w:pos="1260"/>
              </w:tabs>
              <w:wordWrap/>
              <w:adjustRightInd/>
              <w:snapToGrid w:val="0"/>
              <w:spacing w:line="240" w:lineRule="auto"/>
              <w:ind w:right="0"/>
              <w:jc w:val="left"/>
              <w:textAlignment w:val="auto"/>
              <w:rPr>
                <w:rFonts w:hint="eastAsia" w:ascii="仿宋" w:hAnsi="仿宋" w:cs="仿宋"/>
              </w:rPr>
            </w:pPr>
            <w:r>
              <w:rPr>
                <w:rFonts w:hint="eastAsia" w:ascii="仿宋" w:hAnsi="仿宋" w:cs="仿宋"/>
                <w:lang w:val="en-US" w:eastAsia="zh-CN"/>
              </w:rPr>
              <w:t>剩余未付</w:t>
            </w:r>
            <w:r>
              <w:rPr>
                <w:rFonts w:hint="eastAsia" w:ascii="仿宋" w:hAnsi="仿宋" w:cs="仿宋"/>
              </w:rPr>
              <w:t>转让价款金额：第6.1条约定的债权转让总价款</w:t>
            </w:r>
            <w:r>
              <w:rPr>
                <w:rFonts w:hint="eastAsia" w:ascii="仿宋" w:hAnsi="仿宋" w:cs="仿宋"/>
                <w:lang w:eastAsia="zh-CN"/>
              </w:rPr>
              <w:t>减首期转让价款</w:t>
            </w:r>
            <w:r>
              <w:rPr>
                <w:rFonts w:hint="eastAsia" w:ascii="仿宋" w:hAnsi="仿宋" w:cs="仿宋"/>
                <w:lang w:val="en-US" w:eastAsia="zh-CN"/>
              </w:rPr>
              <w:t>〔</w:t>
            </w:r>
            <w:r>
              <w:rPr>
                <w:rFonts w:hint="eastAsia" w:ascii="仿宋" w:hAnsi="仿宋" w:cs="仿宋"/>
              </w:rPr>
              <w:t>即人民币</w:t>
            </w:r>
            <w:r>
              <w:rPr>
                <w:rFonts w:hint="eastAsia" w:ascii="仿宋" w:hAnsi="仿宋" w:cs="仿宋"/>
                <w:u w:val="none"/>
              </w:rPr>
              <w:t xml:space="preserve">   </w:t>
            </w:r>
            <w:r>
              <w:rPr>
                <w:rFonts w:hint="eastAsia" w:ascii="仿宋" w:hAnsi="仿宋" w:cs="仿宋"/>
                <w:u w:val="none"/>
                <w:lang w:val="en-US" w:eastAsia="zh-CN"/>
              </w:rPr>
              <w:t xml:space="preserve">          </w:t>
            </w:r>
            <w:r>
              <w:rPr>
                <w:rFonts w:hint="eastAsia" w:ascii="仿宋" w:hAnsi="仿宋" w:cs="仿宋"/>
              </w:rPr>
              <w:t>元</w:t>
            </w:r>
          </w:p>
          <w:p>
            <w:pPr>
              <w:numPr>
                <w:ilvl w:val="0"/>
                <w:numId w:val="0"/>
              </w:numPr>
              <w:tabs>
                <w:tab w:val="left" w:pos="1260"/>
              </w:tabs>
              <w:wordWrap/>
              <w:adjustRightInd/>
              <w:snapToGrid w:val="0"/>
              <w:spacing w:line="240" w:lineRule="auto"/>
              <w:ind w:right="0"/>
              <w:jc w:val="left"/>
              <w:textAlignment w:val="auto"/>
              <w:rPr>
                <w:rFonts w:ascii="仿宋" w:hAnsi="仿宋" w:cs="仿宋"/>
              </w:rPr>
            </w:pPr>
            <w:r>
              <w:rPr>
                <w:rFonts w:hint="eastAsia" w:ascii="仿宋" w:hAnsi="仿宋" w:cs="仿宋"/>
              </w:rPr>
              <w:t>（小写：</w:t>
            </w:r>
            <w:r>
              <w:rPr>
                <w:rFonts w:ascii="仿宋" w:hAnsi="仿宋" w:cs="仿宋"/>
              </w:rPr>
              <w:t xml:space="preserve">    </w:t>
            </w:r>
            <w:r>
              <w:rPr>
                <w:rFonts w:hint="eastAsia" w:ascii="仿宋" w:hAnsi="仿宋" w:cs="仿宋"/>
                <w:lang w:val="en-US" w:eastAsia="zh-CN"/>
              </w:rPr>
              <w:t xml:space="preserve">              </w:t>
            </w:r>
            <w:r>
              <w:rPr>
                <w:rFonts w:hint="eastAsia" w:ascii="仿宋" w:hAnsi="仿宋" w:cs="仿宋"/>
              </w:rPr>
              <w:t>）</w:t>
            </w:r>
          </w:p>
        </w:tc>
        <w:tc>
          <w:tcPr>
            <w:tcW w:w="1443" w:type="dxa"/>
            <w:vAlign w:val="center"/>
          </w:tcPr>
          <w:p>
            <w:pPr>
              <w:numPr>
                <w:ilvl w:val="0"/>
                <w:numId w:val="0"/>
              </w:numPr>
              <w:tabs>
                <w:tab w:val="left" w:pos="1260"/>
              </w:tabs>
              <w:wordWrap/>
              <w:adjustRightInd/>
              <w:snapToGrid w:val="0"/>
              <w:spacing w:line="240" w:lineRule="auto"/>
              <w:ind w:right="0"/>
              <w:jc w:val="center"/>
              <w:textAlignment w:val="auto"/>
              <w:rPr>
                <w:rFonts w:hint="eastAsia" w:ascii="仿宋" w:hAnsi="仿宋" w:eastAsia="仿宋" w:cs="仿宋"/>
                <w:sz w:val="21"/>
                <w:szCs w:val="21"/>
                <w:lang w:val="en-US" w:eastAsia="zh-CN"/>
              </w:rPr>
            </w:pPr>
            <w:r>
              <w:rPr>
                <w:rFonts w:hint="eastAsia" w:ascii="仿宋" w:hAnsi="仿宋" w:cs="仿宋"/>
                <w:b w:val="0"/>
                <w:bCs w:val="0"/>
                <w:sz w:val="21"/>
                <w:szCs w:val="21"/>
                <w:lang w:val="en-US" w:eastAsia="zh-CN"/>
              </w:rPr>
              <w:t>乙方按</w:t>
            </w:r>
            <w:r>
              <w:rPr>
                <w:rFonts w:hint="eastAsia" w:ascii="仿宋" w:hAnsi="仿宋" w:cs="仿宋"/>
                <w:b w:val="0"/>
                <w:bCs w:val="0"/>
                <w:sz w:val="21"/>
                <w:szCs w:val="21"/>
              </w:rPr>
              <w:t>剩余</w:t>
            </w:r>
            <w:r>
              <w:rPr>
                <w:rFonts w:hint="eastAsia" w:ascii="仿宋" w:hAnsi="仿宋" w:cs="仿宋"/>
                <w:b w:val="0"/>
                <w:bCs w:val="0"/>
                <w:sz w:val="21"/>
                <w:szCs w:val="21"/>
                <w:lang w:eastAsia="zh-CN"/>
              </w:rPr>
              <w:t>未付</w:t>
            </w:r>
            <w:r>
              <w:rPr>
                <w:rFonts w:hint="eastAsia" w:ascii="仿宋" w:hAnsi="仿宋" w:cs="仿宋"/>
                <w:b w:val="0"/>
                <w:bCs w:val="0"/>
                <w:sz w:val="21"/>
                <w:szCs w:val="21"/>
              </w:rPr>
              <w:t>债权转让价款</w:t>
            </w:r>
            <w:r>
              <w:rPr>
                <w:rFonts w:hint="eastAsia" w:ascii="仿宋" w:hAnsi="仿宋" w:cs="仿宋"/>
                <w:b w:val="0"/>
                <w:bCs w:val="0"/>
                <w:sz w:val="21"/>
                <w:szCs w:val="21"/>
                <w:lang w:val="en-US" w:eastAsia="zh-CN"/>
              </w:rPr>
              <w:t>金额乘以3.65</w:t>
            </w:r>
            <w:r>
              <w:rPr>
                <w:rFonts w:hint="eastAsia" w:ascii="仿宋" w:hAnsi="仿宋" w:cs="仿宋"/>
                <w:b w:val="0"/>
                <w:bCs w:val="0"/>
                <w:sz w:val="21"/>
                <w:szCs w:val="21"/>
              </w:rPr>
              <w:t>%/年</w:t>
            </w:r>
            <w:r>
              <w:rPr>
                <w:rFonts w:hint="eastAsia" w:ascii="仿宋" w:hAnsi="仿宋" w:cs="仿宋"/>
                <w:b w:val="0"/>
                <w:bCs w:val="0"/>
                <w:sz w:val="21"/>
                <w:szCs w:val="21"/>
                <w:lang w:val="en-US" w:eastAsia="zh-CN"/>
              </w:rPr>
              <w:t>乘以</w:t>
            </w:r>
            <w:r>
              <w:rPr>
                <w:rFonts w:hint="eastAsia" w:ascii="仿宋" w:hAnsi="仿宋" w:cs="仿宋"/>
                <w:b w:val="0"/>
                <w:bCs w:val="0"/>
                <w:sz w:val="21"/>
                <w:szCs w:val="21"/>
              </w:rPr>
              <w:t>占用天数/360</w:t>
            </w:r>
            <w:r>
              <w:rPr>
                <w:rFonts w:hint="eastAsia" w:ascii="仿宋" w:hAnsi="仿宋" w:cs="仿宋"/>
                <w:b w:val="0"/>
                <w:bCs w:val="0"/>
                <w:sz w:val="21"/>
                <w:szCs w:val="21"/>
                <w:lang w:val="en-US" w:eastAsia="zh-CN"/>
              </w:rPr>
              <w:t>向甲方支付</w:t>
            </w:r>
          </w:p>
        </w:tc>
      </w:tr>
    </w:tbl>
    <w:p>
      <w:pPr>
        <w:numPr>
          <w:ilvl w:val="-1"/>
          <w:numId w:val="0"/>
        </w:numPr>
        <w:tabs>
          <w:tab w:val="left" w:pos="1260"/>
        </w:tabs>
        <w:wordWrap/>
        <w:adjustRightInd/>
        <w:snapToGrid w:val="0"/>
        <w:spacing w:before="156" w:beforeLines="50" w:line="360" w:lineRule="auto"/>
        <w:ind w:right="-87" w:firstLine="482" w:firstLineChars="200"/>
        <w:textAlignment w:val="auto"/>
        <w:rPr>
          <w:rFonts w:hint="eastAsia" w:ascii="仿宋" w:hAnsi="仿宋" w:cs="仿宋"/>
          <w:b/>
          <w:bCs/>
        </w:rPr>
      </w:pPr>
      <w:r>
        <w:rPr>
          <w:rFonts w:hint="eastAsia" w:ascii="仿宋" w:hAnsi="仿宋" w:cs="仿宋"/>
          <w:b/>
          <w:bCs/>
        </w:rPr>
        <w:t>其中，</w:t>
      </w:r>
      <w:r>
        <w:rPr>
          <w:rFonts w:hint="eastAsia" w:ascii="仿宋" w:hAnsi="仿宋" w:cs="仿宋"/>
          <w:b/>
          <w:bCs/>
          <w:lang w:val="en-US" w:eastAsia="zh-CN"/>
        </w:rPr>
        <w:t>采用（2）分期付款的，</w:t>
      </w:r>
      <w:r>
        <w:rPr>
          <w:rFonts w:hint="eastAsia" w:ascii="仿宋" w:hAnsi="仿宋" w:cs="仿宋"/>
          <w:b/>
          <w:bCs/>
        </w:rPr>
        <w:t>以剩余转让价款余额为基数按【</w:t>
      </w:r>
      <w:r>
        <w:rPr>
          <w:rFonts w:hint="eastAsia" w:ascii="仿宋" w:hAnsi="仿宋" w:cs="仿宋"/>
          <w:b/>
          <w:bCs/>
          <w:lang w:val="en-US" w:eastAsia="zh-CN"/>
        </w:rPr>
        <w:t>3.65%</w:t>
      </w:r>
      <w:r>
        <w:rPr>
          <w:rFonts w:hint="eastAsia" w:ascii="仿宋" w:hAnsi="仿宋" w:cs="仿宋"/>
          <w:b/>
          <w:bCs/>
        </w:rPr>
        <w:t>】支付分期付款期间的资金占用费，直至全部转让价款支付完毕，资金占用费</w:t>
      </w:r>
      <w:r>
        <w:rPr>
          <w:rFonts w:hint="eastAsia" w:ascii="仿宋" w:hAnsi="仿宋" w:cs="仿宋"/>
          <w:b/>
          <w:bCs/>
        </w:rPr>
        <w:t>=剩余债权转让</w:t>
      </w:r>
      <w:r>
        <w:rPr>
          <w:rFonts w:hint="eastAsia" w:ascii="仿宋" w:hAnsi="仿宋" w:cs="仿宋"/>
          <w:b/>
          <w:bCs/>
        </w:rPr>
        <w:t>价</w:t>
      </w:r>
      <w:r>
        <w:rPr>
          <w:rFonts w:hint="eastAsia" w:ascii="仿宋" w:hAnsi="仿宋" w:cs="仿宋"/>
          <w:b/>
          <w:bCs/>
        </w:rPr>
        <w:t>款*【</w:t>
      </w:r>
      <w:r>
        <w:rPr>
          <w:rFonts w:hint="eastAsia" w:ascii="仿宋" w:hAnsi="仿宋" w:cs="仿宋"/>
          <w:b/>
          <w:bCs/>
          <w:lang w:val="en-US" w:eastAsia="zh-CN"/>
        </w:rPr>
        <w:t>3.65</w:t>
      </w:r>
      <w:r>
        <w:rPr>
          <w:rFonts w:hint="eastAsia" w:ascii="仿宋" w:hAnsi="仿宋" w:cs="仿宋"/>
          <w:b/>
          <w:bCs/>
        </w:rPr>
        <w:t>】%/年*占用天数/360，占用天数自首笔转让价款付款期限届满之次日（含当日）起直至剩余转让价款支付完毕之日（不含当日）止。如剩余转让价款金额发生变化的，资金占用费应分段计算。</w:t>
      </w:r>
    </w:p>
    <w:p>
      <w:pPr>
        <w:tabs>
          <w:tab w:val="left" w:pos="1260"/>
        </w:tabs>
        <w:snapToGrid w:val="0"/>
        <w:spacing w:before="156" w:beforeLines="50" w:line="360" w:lineRule="auto"/>
        <w:ind w:right="-87" w:firstLine="482" w:firstLineChars="200"/>
        <w:rPr>
          <w:rFonts w:hint="eastAsia" w:ascii="仿宋" w:hAnsi="仿宋" w:cs="仿宋"/>
          <w:b/>
          <w:bCs/>
        </w:rPr>
      </w:pPr>
      <w:r>
        <w:rPr>
          <w:rFonts w:hint="eastAsia" w:ascii="仿宋" w:hAnsi="仿宋" w:cs="仿宋"/>
          <w:b/>
          <w:bCs/>
          <w:lang w:val="en-US" w:eastAsia="zh-CN"/>
        </w:rPr>
        <w:t>此外，采用（2）分期付款时，乙方应按《关于规范国有金融机构资产转让有关事项的通知》（财金〔2021〕102号）要求，对剩余转让价款的支付提供甲方认可的合法有效担保。</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6.4 </w:t>
      </w:r>
      <w:r>
        <w:rPr>
          <w:rFonts w:hint="eastAsia" w:ascii="仿宋" w:hAnsi="仿宋" w:cs="仿宋"/>
          <w:b/>
        </w:rPr>
        <w:t>收款账号</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乙方在本协议项下应支付的全部款项以电汇立即可用资金形式划付至甲方指定的下列账户：</w:t>
      </w:r>
    </w:p>
    <w:p>
      <w:pPr>
        <w:tabs>
          <w:tab w:val="left" w:pos="1260"/>
        </w:tabs>
        <w:wordWrap/>
        <w:adjustRightInd/>
        <w:snapToGrid w:val="0"/>
        <w:spacing w:line="360" w:lineRule="auto"/>
        <w:ind w:right="0" w:firstLine="480" w:firstLineChars="200"/>
        <w:textAlignment w:val="auto"/>
        <w:rPr>
          <w:rFonts w:hint="eastAsia" w:ascii="仿宋" w:hAnsi="仿宋" w:cs="仿宋"/>
        </w:rPr>
      </w:pPr>
      <w:r>
        <w:rPr>
          <w:rFonts w:hint="eastAsia" w:ascii="仿宋" w:hAnsi="仿宋" w:cs="仿宋"/>
        </w:rPr>
        <w:t>户  名：</w:t>
      </w:r>
      <w:r>
        <w:rPr>
          <w:rFonts w:hint="eastAsia" w:ascii="仿宋" w:hAnsi="仿宋" w:cs="仿宋"/>
          <w:lang w:val="en-US" w:eastAsia="zh-CN"/>
        </w:rPr>
        <w:t>中国长城资产管理股份有限公司海南省分公司</w:t>
      </w:r>
      <w:r>
        <w:rPr>
          <w:rFonts w:hint="eastAsia" w:ascii="仿宋" w:hAnsi="仿宋" w:cs="仿宋"/>
        </w:rPr>
        <w:t xml:space="preserve"> </w:t>
      </w:r>
    </w:p>
    <w:p>
      <w:pPr>
        <w:tabs>
          <w:tab w:val="left" w:pos="1260"/>
        </w:tabs>
        <w:snapToGrid w:val="0"/>
        <w:spacing w:line="360" w:lineRule="auto"/>
        <w:ind w:right="0" w:firstLine="480" w:firstLineChars="200"/>
        <w:rPr>
          <w:rFonts w:hint="eastAsia" w:ascii="仿宋" w:hAnsi="仿宋" w:eastAsia="仿宋" w:cs="仿宋"/>
          <w:sz w:val="24"/>
        </w:rPr>
      </w:pPr>
      <w:r>
        <w:rPr>
          <w:rFonts w:hint="eastAsia" w:ascii="仿宋" w:hAnsi="仿宋" w:cs="仿宋"/>
        </w:rPr>
        <w:t>开户行：</w:t>
      </w:r>
      <w:r>
        <w:rPr>
          <w:rFonts w:hint="eastAsia" w:ascii="仿宋" w:hAnsi="仿宋" w:eastAsia="仿宋" w:cs="仿宋"/>
          <w:sz w:val="24"/>
        </w:rPr>
        <w:t>中国农业银行股份有限公司海南省分行营业部</w:t>
      </w:r>
    </w:p>
    <w:p>
      <w:pPr>
        <w:tabs>
          <w:tab w:val="left" w:pos="1260"/>
        </w:tabs>
        <w:wordWrap/>
        <w:adjustRightInd/>
        <w:snapToGrid w:val="0"/>
        <w:spacing w:line="360" w:lineRule="auto"/>
        <w:ind w:right="0" w:firstLine="480" w:firstLineChars="200"/>
        <w:textAlignment w:val="auto"/>
        <w:rPr>
          <w:rFonts w:hint="eastAsia" w:ascii="仿宋" w:hAnsi="仿宋" w:cs="仿宋"/>
        </w:rPr>
      </w:pPr>
      <w:r>
        <w:rPr>
          <w:rFonts w:hint="eastAsia" w:ascii="仿宋" w:hAnsi="仿宋" w:cs="仿宋"/>
        </w:rPr>
        <w:t>账  号：</w:t>
      </w:r>
      <w:r>
        <w:rPr>
          <w:rFonts w:hint="eastAsia" w:ascii="仿宋" w:hAnsi="仿宋" w:eastAsia="仿宋" w:cs="仿宋"/>
          <w:sz w:val="24"/>
        </w:rPr>
        <w:t>21-100001040008366</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bCs/>
        </w:rPr>
        <w:t>6.5</w:t>
      </w:r>
      <w:r>
        <w:rPr>
          <w:rFonts w:ascii="仿宋" w:hAnsi="仿宋" w:cs="仿宋"/>
          <w:b/>
        </w:rPr>
        <w:t xml:space="preserve"> </w:t>
      </w:r>
      <w:r>
        <w:rPr>
          <w:rFonts w:hint="eastAsia" w:ascii="仿宋" w:hAnsi="仿宋" w:cs="仿宋"/>
          <w:b/>
        </w:rPr>
        <w:t>付款金额确认</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9" w:name="_Hlk113345032"/>
      <w:r>
        <w:rPr>
          <w:rFonts w:hint="eastAsia" w:ascii="仿宋" w:hAnsi="仿宋" w:cs="仿宋"/>
        </w:rPr>
        <w:t>均视为乙方未全额支付转让价款</w:t>
      </w:r>
      <w:bookmarkEnd w:id="9"/>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6</w:t>
      </w:r>
      <w:r>
        <w:rPr>
          <w:rFonts w:ascii="仿宋" w:hAnsi="仿宋" w:cs="仿宋"/>
        </w:rPr>
        <w:t xml:space="preserve">.6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156" w:beforeLines="50" w:line="360" w:lineRule="auto"/>
        <w:ind w:right="-87" w:firstLine="480" w:firstLineChars="200"/>
        <w:rPr>
          <w:rFonts w:ascii="仿宋" w:hAnsi="仿宋" w:cs="仿宋"/>
          <w:bCs/>
        </w:rPr>
      </w:pPr>
      <w:bookmarkStart w:id="10" w:name="_Hlk137460346"/>
      <w:r>
        <w:rPr>
          <w:rFonts w:ascii="仿宋" w:hAnsi="仿宋" w:cs="仿宋"/>
          <w:bCs/>
        </w:rPr>
        <w:t>6.7</w:t>
      </w:r>
      <w:r>
        <w:rPr>
          <w:rFonts w:hint="eastAsia" w:ascii="仿宋" w:hAnsi="仿宋" w:cs="仿宋"/>
          <w:bCs/>
        </w:rPr>
        <w:t>除非甲方另行指定，乙方向甲方支付的本协议项下的所有款项应按以下顺序进行偿付：</w:t>
      </w:r>
    </w:p>
    <w:p>
      <w:pPr>
        <w:numPr>
          <w:ilvl w:val="255"/>
          <w:numId w:val="0"/>
        </w:num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1"/>
        <w:numPr>
          <w:ilvl w:val="255"/>
          <w:numId w:val="0"/>
        </w:numPr>
        <w:tabs>
          <w:tab w:val="left" w:pos="1418"/>
        </w:tabs>
        <w:adjustRightInd w:val="0"/>
        <w:snapToGrid w:val="0"/>
        <w:spacing w:before="156" w:beforeLines="50" w:line="360" w:lineRule="auto"/>
        <w:ind w:firstLine="480" w:firstLineChars="200"/>
        <w:rPr>
          <w:rFonts w:ascii="仿宋" w:hAnsi="仿宋" w:eastAsia="仿宋" w:cs="仿宋"/>
          <w:bCs/>
          <w:sz w:val="24"/>
          <w:lang w:eastAsia="zh-Hans"/>
        </w:rPr>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1"/>
        <w:numPr>
          <w:ilvl w:val="255"/>
          <w:numId w:val="0"/>
        </w:numPr>
        <w:tabs>
          <w:tab w:val="left" w:pos="1418"/>
        </w:tabs>
        <w:adjustRightInd w:val="0"/>
        <w:snapToGrid w:val="0"/>
        <w:spacing w:before="156" w:beforeLines="50" w:line="360" w:lineRule="auto"/>
        <w:ind w:firstLine="480" w:firstLineChars="200"/>
        <w:rPr>
          <w:rFonts w:ascii="仿宋" w:hAnsi="仿宋" w:cs="仿宋"/>
          <w:bCs/>
          <w:color w:val="000000"/>
        </w:rPr>
      </w:pPr>
      <w:r>
        <w:rPr>
          <w:rFonts w:ascii="仿宋" w:hAnsi="仿宋" w:eastAsia="仿宋" w:cs="仿宋"/>
          <w:bCs/>
          <w:sz w:val="24"/>
        </w:rPr>
        <w:t>（4）</w:t>
      </w:r>
      <w:r>
        <w:rPr>
          <w:rFonts w:hint="eastAsia" w:ascii="仿宋" w:hAnsi="仿宋" w:eastAsia="仿宋" w:cs="仿宋"/>
          <w:bCs/>
          <w:sz w:val="24"/>
        </w:rPr>
        <w:t>应付未付的转让价款。</w:t>
      </w:r>
      <w:bookmarkEnd w:id="10"/>
    </w:p>
    <w:p>
      <w:pPr>
        <w:pStyle w:val="3"/>
        <w:numPr>
          <w:ilvl w:val="255"/>
          <w:numId w:val="0"/>
        </w:numPr>
        <w:snapToGrid w:val="0"/>
        <w:spacing w:before="156" w:beforeLines="50" w:line="360" w:lineRule="auto"/>
        <w:ind w:right="-87" w:firstLine="482" w:firstLineChars="200"/>
      </w:pPr>
      <w:r>
        <w:rPr>
          <w:rFonts w:hint="eastAsia"/>
        </w:rPr>
        <w:t>第七条</w:t>
      </w:r>
      <w:r>
        <w:t xml:space="preserve">  </w:t>
      </w:r>
      <w:r>
        <w:rPr>
          <w:rFonts w:hint="eastAsia"/>
        </w:rPr>
        <w:t>标的债权的交割</w:t>
      </w:r>
    </w:p>
    <w:p>
      <w:pPr>
        <w:snapToGrid w:val="0"/>
        <w:spacing w:before="156" w:beforeLines="50" w:line="360" w:lineRule="auto"/>
        <w:ind w:firstLine="482" w:firstLineChars="200"/>
        <w:rPr>
          <w:rFonts w:ascii="仿宋" w:hAnsi="仿宋" w:cs="仿宋"/>
          <w:b/>
        </w:rPr>
      </w:pPr>
      <w:r>
        <w:rPr>
          <w:rFonts w:ascii="仿宋" w:hAnsi="仿宋" w:cs="仿宋"/>
          <w:b/>
        </w:rPr>
        <w:t xml:space="preserve">7.1 </w:t>
      </w:r>
      <w:r>
        <w:rPr>
          <w:rFonts w:hint="eastAsia" w:ascii="仿宋" w:hAnsi="仿宋" w:cs="仿宋"/>
          <w:b/>
        </w:rPr>
        <w:t>交割日的确定</w:t>
      </w:r>
    </w:p>
    <w:p>
      <w:pPr>
        <w:tabs>
          <w:tab w:val="left" w:pos="1260"/>
        </w:tabs>
        <w:snapToGrid w:val="0"/>
        <w:spacing w:before="156" w:beforeLines="50" w:line="360" w:lineRule="auto"/>
        <w:ind w:left="480" w:leftChars="200" w:right="-87" w:firstLine="0" w:firstLineChars="0"/>
        <w:rPr>
          <w:rFonts w:hint="eastAsia" w:ascii="仿宋" w:hAnsi="仿宋" w:cs="仿宋"/>
          <w:lang w:val="en-US" w:eastAsia="zh-CN"/>
        </w:rPr>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rPr>
        <w:t>条</w:t>
      </w:r>
      <w:bookmarkStart w:id="11" w:name="_Hlk122961202"/>
      <w:r>
        <w:rPr>
          <w:rFonts w:ascii="仿宋" w:hAnsi="仿宋" w:cs="仿宋"/>
        </w:rPr>
        <w:t>约定</w:t>
      </w:r>
      <w:bookmarkEnd w:id="11"/>
      <w:r>
        <w:rPr>
          <w:rFonts w:ascii="仿宋" w:hAnsi="仿宋" w:cs="仿宋"/>
        </w:rPr>
        <w:t>的交割条件全部成就后</w:t>
      </w:r>
      <w:r>
        <w:rPr>
          <w:rFonts w:hint="eastAsia" w:ascii="仿宋" w:hAnsi="仿宋" w:cs="仿宋"/>
          <w:lang w:val="en-US" w:eastAsia="zh-CN"/>
        </w:rPr>
        <w:t xml:space="preserve">    </w:t>
      </w:r>
    </w:p>
    <w:p>
      <w:pPr>
        <w:tabs>
          <w:tab w:val="left" w:pos="1260"/>
        </w:tabs>
        <w:snapToGrid w:val="0"/>
        <w:spacing w:before="156" w:beforeLines="50" w:line="360" w:lineRule="auto"/>
        <w:ind w:right="-87" w:firstLine="0" w:firstLineChars="0"/>
        <w:rPr>
          <w:rFonts w:ascii="仿宋" w:hAnsi="仿宋" w:cs="仿宋"/>
        </w:rPr>
      </w:pPr>
      <w:r>
        <w:rPr>
          <w:rFonts w:ascii="仿宋" w:hAnsi="仿宋" w:cs="仿宋"/>
        </w:rPr>
        <w:t>第  个工作日为交割日。</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 xml:space="preserve">7.2 </w:t>
      </w:r>
      <w:r>
        <w:rPr>
          <w:rFonts w:hint="eastAsia" w:ascii="仿宋" w:hAnsi="仿宋" w:cs="仿宋"/>
          <w:b/>
          <w:bCs/>
        </w:rPr>
        <w:t>交割条件</w:t>
      </w:r>
    </w:p>
    <w:p>
      <w:pPr>
        <w:snapToGrid w:val="0"/>
        <w:spacing w:before="156" w:beforeLines="50" w:line="360" w:lineRule="auto"/>
        <w:ind w:firstLine="480" w:firstLineChars="200"/>
        <w:rPr>
          <w:rFonts w:ascii="仿宋" w:hAnsi="仿宋" w:cs="仿宋"/>
        </w:rPr>
      </w:pPr>
      <w:r>
        <w:rPr>
          <w:rFonts w:hint="eastAsia" w:ascii="仿宋" w:hAnsi="仿宋" w:cs="仿宋"/>
        </w:rPr>
        <w:t>下述全部条件全部成就的前提下，双方应进行标的债权的交割：</w:t>
      </w:r>
    </w:p>
    <w:p>
      <w:pPr>
        <w:snapToGrid w:val="0"/>
        <w:spacing w:before="156" w:beforeLines="50" w:line="360" w:lineRule="auto"/>
        <w:ind w:firstLine="480" w:firstLineChars="200"/>
        <w:rPr>
          <w:rFonts w:ascii="仿宋" w:hAnsi="仿宋" w:cs="仿宋"/>
        </w:rPr>
      </w:pPr>
      <w:r>
        <w:rPr>
          <w:rFonts w:ascii="仿宋" w:hAnsi="仿宋" w:cs="仿宋"/>
        </w:rPr>
        <w:t xml:space="preserve">7.2.1 </w:t>
      </w:r>
      <w:r>
        <w:rPr>
          <w:rFonts w:hint="eastAsia" w:ascii="仿宋" w:hAnsi="仿宋" w:cs="仿宋"/>
        </w:rPr>
        <w:t>甲方已经足额收到乙方按照</w:t>
      </w:r>
      <w:bookmarkStart w:id="12" w:name="_Hlk113345063"/>
      <w:r>
        <w:rPr>
          <w:rFonts w:hint="eastAsia" w:ascii="仿宋" w:hAnsi="仿宋" w:cs="仿宋"/>
        </w:rPr>
        <w:t>本协议</w:t>
      </w:r>
      <w:bookmarkEnd w:id="12"/>
      <w:r>
        <w:rPr>
          <w:rFonts w:ascii="仿宋" w:hAnsi="仿宋" w:cs="仿宋"/>
        </w:rPr>
        <w:t>约定</w:t>
      </w:r>
      <w:r>
        <w:rPr>
          <w:rFonts w:hint="eastAsia" w:ascii="仿宋" w:hAnsi="仿宋" w:cs="仿宋"/>
          <w:lang w:eastAsia="zh-Hans"/>
        </w:rPr>
        <w:t>应支付</w:t>
      </w:r>
      <w:r>
        <w:rPr>
          <w:rFonts w:hint="eastAsia" w:ascii="仿宋" w:hAnsi="仿宋" w:cs="仿宋"/>
        </w:rPr>
        <w:t>的全部转让价款、</w:t>
      </w:r>
      <w:bookmarkStart w:id="13" w:name="_Hlk137460391"/>
      <w:r>
        <w:rPr>
          <w:rFonts w:hint="eastAsia" w:ascii="仿宋" w:hAnsi="仿宋" w:cs="仿宋"/>
        </w:rPr>
        <w:t>履约保证金</w:t>
      </w:r>
      <w:bookmarkEnd w:id="13"/>
      <w:r>
        <w:rPr>
          <w:rFonts w:hint="eastAsia" w:ascii="仿宋" w:hAnsi="仿宋" w:cs="仿宋"/>
          <w:lang w:eastAsia="zh-Hans"/>
        </w:rPr>
        <w:t>以及本协议约定的应由乙方支付的</w:t>
      </w:r>
      <w:r>
        <w:rPr>
          <w:rFonts w:ascii="仿宋" w:hAnsi="仿宋" w:cs="仿宋"/>
        </w:rPr>
        <w:t>违约金</w:t>
      </w:r>
      <w:r>
        <w:rPr>
          <w:rFonts w:hint="eastAsia" w:ascii="仿宋" w:hAnsi="仿宋" w:cs="仿宋"/>
        </w:rPr>
        <w:t>、过渡期服务报酬</w:t>
      </w:r>
      <w:r>
        <w:rPr>
          <w:rFonts w:ascii="仿宋" w:hAnsi="仿宋" w:cs="仿宋"/>
        </w:rPr>
        <w:t>、</w:t>
      </w:r>
      <w:bookmarkStart w:id="14" w:name="_Hlk116189488"/>
      <w:r>
        <w:rPr>
          <w:rFonts w:hint="eastAsia" w:ascii="仿宋" w:hAnsi="仿宋" w:cs="仿宋"/>
        </w:rPr>
        <w:t>处置费用</w:t>
      </w:r>
      <w:bookmarkStart w:id="15" w:name="_Hlk137913594"/>
      <w:r>
        <w:rPr>
          <w:rFonts w:hint="eastAsia" w:ascii="仿宋" w:hAnsi="仿宋" w:cs="仿宋"/>
        </w:rPr>
        <w:t>、通知费用</w:t>
      </w:r>
      <w:bookmarkEnd w:id="14"/>
      <w:bookmarkEnd w:id="15"/>
      <w:r>
        <w:rPr>
          <w:rFonts w:hint="eastAsia" w:ascii="仿宋" w:hAnsi="仿宋" w:cs="仿宋"/>
        </w:rPr>
        <w:t>等全部应付款项。</w:t>
      </w:r>
    </w:p>
    <w:p>
      <w:pPr>
        <w:snapToGrid w:val="0"/>
        <w:spacing w:before="156" w:beforeLines="50" w:line="360" w:lineRule="auto"/>
        <w:ind w:firstLine="480" w:firstLineChars="200"/>
        <w:rPr>
          <w:rFonts w:ascii="仿宋" w:hAnsi="仿宋" w:cs="仿宋"/>
        </w:rPr>
      </w:pPr>
      <w:r>
        <w:rPr>
          <w:rFonts w:ascii="仿宋" w:hAnsi="仿宋" w:cs="仿宋"/>
        </w:rPr>
        <w:t xml:space="preserve">7.2.2 </w:t>
      </w:r>
      <w:r>
        <w:rPr>
          <w:rFonts w:hint="eastAsia" w:ascii="仿宋" w:hAnsi="仿宋" w:cs="仿宋"/>
        </w:rPr>
        <w:t>截至交割日，乙方已经履行并继续履行其在本协议项下约定的交割前的全部承诺或约定</w:t>
      </w:r>
      <w:r>
        <w:rPr>
          <w:rFonts w:ascii="仿宋" w:hAnsi="仿宋" w:cs="仿宋"/>
        </w:rPr>
        <w:t>，乙方在本协议项下所作的声明和保证在交割日是真实准确的，如同该等声明和保证系于交割日作出的一样。</w:t>
      </w:r>
    </w:p>
    <w:p>
      <w:pPr>
        <w:snapToGrid w:val="0"/>
        <w:spacing w:before="156" w:beforeLines="50" w:line="360" w:lineRule="auto"/>
        <w:ind w:firstLine="480" w:firstLineChars="200"/>
        <w:rPr>
          <w:rFonts w:ascii="仿宋" w:hAnsi="仿宋" w:cs="仿宋"/>
        </w:rPr>
      </w:pPr>
      <w:r>
        <w:rPr>
          <w:rFonts w:ascii="仿宋" w:hAnsi="仿宋" w:cs="仿宋"/>
        </w:rPr>
        <w:t>7.2.</w:t>
      </w:r>
      <w:r>
        <w:rPr>
          <w:rFonts w:hint="eastAsia" w:ascii="仿宋" w:hAnsi="仿宋" w:cs="仿宋"/>
        </w:rPr>
        <w:t>3</w:t>
      </w:r>
      <w:r>
        <w:rPr>
          <w:rFonts w:ascii="仿宋" w:hAnsi="仿宋" w:cs="仿宋"/>
        </w:rPr>
        <w:t xml:space="preserve"> </w:t>
      </w:r>
      <w:r>
        <w:rPr>
          <w:rFonts w:hint="eastAsia" w:ascii="仿宋" w:hAnsi="仿宋" w:cs="仿宋"/>
        </w:rPr>
        <w:t>甲方已就本协议项下标的债权的转让获得甲方认为根据中华人民共和国法律法规所必要的相关政府机构备案确认或批准文件。</w:t>
      </w:r>
    </w:p>
    <w:p>
      <w:pPr>
        <w:snapToGrid w:val="0"/>
        <w:spacing w:before="156" w:beforeLines="50" w:line="360" w:lineRule="auto"/>
        <w:ind w:firstLine="482" w:firstLineChars="200"/>
        <w:rPr>
          <w:rFonts w:ascii="仿宋" w:hAnsi="仿宋" w:cs="仿宋"/>
          <w:b/>
          <w:color w:val="000000"/>
        </w:rPr>
      </w:pPr>
      <w:r>
        <w:rPr>
          <w:rFonts w:ascii="仿宋" w:hAnsi="仿宋" w:cs="仿宋"/>
          <w:b/>
          <w:color w:val="000000"/>
        </w:rPr>
        <w:t xml:space="preserve">7.3 </w:t>
      </w:r>
      <w:r>
        <w:rPr>
          <w:rFonts w:hint="eastAsia" w:ascii="仿宋" w:hAnsi="仿宋" w:cs="仿宋"/>
          <w:b/>
          <w:color w:val="000000"/>
        </w:rPr>
        <w:t>交割前的准备</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甲方在过渡期内取得的与主张和行使标的债权有关的法律文件及服务协议应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p>
    <w:p>
      <w:pPr>
        <w:snapToGrid w:val="0"/>
        <w:spacing w:before="156" w:beforeLines="50" w:line="360" w:lineRule="auto"/>
        <w:ind w:firstLine="482" w:firstLineChars="200"/>
        <w:rPr>
          <w:rFonts w:ascii="仿宋" w:hAnsi="仿宋" w:cs="仿宋"/>
          <w:b/>
        </w:rPr>
      </w:pPr>
      <w:r>
        <w:rPr>
          <w:rFonts w:ascii="仿宋" w:hAnsi="仿宋" w:cs="仿宋"/>
          <w:b/>
        </w:rPr>
        <w:t xml:space="preserve">7.4 </w:t>
      </w:r>
      <w:r>
        <w:rPr>
          <w:rFonts w:hint="eastAsia" w:ascii="仿宋" w:hAnsi="仿宋" w:cs="仿宋"/>
          <w:b/>
        </w:rPr>
        <w:t>标的债权的交割及标的债权证明文件的移交</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标的债权进行处置实现了现金及非现金资产回收的，则在交割时甲方应将回收的现金及非现金资产变现款扣除已发生的处置费用以及按照本协议</w:t>
      </w:r>
      <w:r>
        <w:rPr>
          <w:rFonts w:hint="eastAsia" w:ascii="仿宋" w:hAnsi="仿宋" w:cs="仿宋"/>
          <w:color w:val="000000"/>
          <w:lang w:eastAsia="zh-Hans"/>
        </w:rPr>
        <w:t>第</w:t>
      </w:r>
      <w:r>
        <w:rPr>
          <w:rFonts w:ascii="仿宋" w:hAnsi="仿宋" w:cs="仿宋"/>
          <w:color w:val="000000"/>
        </w:rPr>
        <w:t>8.3</w:t>
      </w:r>
      <w:r>
        <w:rPr>
          <w:rFonts w:hint="eastAsia" w:ascii="仿宋" w:hAnsi="仿宋" w:cs="仿宋"/>
          <w:color w:val="000000"/>
          <w:lang w:eastAsia="zh-Hans"/>
        </w:rPr>
        <w:t>条</w:t>
      </w:r>
      <w:r>
        <w:rPr>
          <w:rFonts w:ascii="仿宋" w:hAnsi="仿宋" w:cs="仿宋"/>
          <w:color w:val="000000"/>
        </w:rPr>
        <w:t>应向乙方收取的过渡期服务报酬后的余额（不含利息）在交割后10个工作日内移交给乙方。</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rPr>
        <w:t>标的债权项下的抵债资产，由甲方在交割日向乙方交付抵债资产的</w:t>
      </w:r>
      <w:r>
        <w:rPr>
          <w:rFonts w:hint="eastAsia" w:ascii="仿宋" w:hAnsi="仿宋" w:cs="仿宋"/>
          <w:color w:val="000000"/>
          <w:lang w:bidi="ar"/>
        </w:rPr>
        <w:t>证明文件</w:t>
      </w:r>
      <w:r>
        <w:rPr>
          <w:rFonts w:hint="eastAsia" w:ascii="仿宋" w:hAnsi="仿宋" w:cs="仿宋"/>
          <w:color w:val="000000"/>
        </w:rPr>
        <w:t>（如有）。如甲方实际占有并有效控制抵债资产的，甲方应向乙方转移占有，但甲方可另行指定一个晚于交割日的日期向乙方予以交付。</w:t>
      </w:r>
    </w:p>
    <w:p>
      <w:pPr>
        <w:snapToGrid w:val="0"/>
        <w:spacing w:before="156" w:beforeLines="50" w:line="360" w:lineRule="auto"/>
        <w:ind w:firstLine="480" w:firstLineChars="200"/>
        <w:rPr>
          <w:rFonts w:ascii="仿宋" w:hAnsi="仿宋" w:cs="仿宋"/>
          <w:b/>
          <w:bCs/>
        </w:rPr>
      </w:pPr>
      <w:r>
        <w:rPr>
          <w:rFonts w:hint="eastAsia" w:ascii="仿宋" w:hAnsi="仿宋" w:cs="仿宋"/>
          <w:color w:val="000000"/>
        </w:rPr>
        <w:t>如果甲方并没有实际占有并有效控制抵债资产，或抵债资产无法办理权属变更手续的，甲方向乙方交付与抵债资产相关的文件、证书等（如有），即视为甲方向乙方交付抵债资产。</w:t>
      </w:r>
    </w:p>
    <w:p>
      <w:pPr>
        <w:snapToGrid w:val="0"/>
        <w:spacing w:before="156" w:beforeLines="50" w:line="360" w:lineRule="auto"/>
        <w:ind w:firstLine="480" w:firstLineChars="200"/>
        <w:rPr>
          <w:rFonts w:ascii="仿宋" w:hAnsi="仿宋" w:cs="仿宋"/>
        </w:rPr>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snapToGrid w:val="0"/>
        <w:spacing w:before="156" w:beforeLines="50" w:line="360" w:lineRule="auto"/>
        <w:ind w:firstLine="480" w:firstLineChars="200"/>
        <w:rPr>
          <w:rFonts w:ascii="仿宋" w:hAnsi="仿宋" w:cs="仿宋"/>
          <w:bCs/>
        </w:rPr>
      </w:pPr>
      <w:r>
        <w:rPr>
          <w:rFonts w:ascii="仿宋" w:hAnsi="仿宋" w:cs="仿宋"/>
          <w:bCs/>
        </w:rPr>
        <w:t xml:space="preserve">7.4.3 </w:t>
      </w:r>
      <w:r>
        <w:rPr>
          <w:rFonts w:hint="eastAsia" w:ascii="仿宋" w:hAnsi="仿宋" w:cs="仿宋"/>
          <w:bCs/>
          <w:lang w:val="en-US" w:eastAsia="zh-CN"/>
        </w:rPr>
        <w:t>自</w:t>
      </w:r>
      <w:r>
        <w:rPr>
          <w:rFonts w:hint="eastAsia" w:ascii="仿宋" w:hAnsi="仿宋" w:cs="仿宋"/>
          <w:bCs/>
        </w:rPr>
        <w:t>交割日</w:t>
      </w:r>
      <w:r>
        <w:rPr>
          <w:rFonts w:hint="eastAsia" w:ascii="仿宋" w:hAnsi="仿宋" w:cs="仿宋"/>
          <w:bCs/>
          <w:lang w:val="en-US" w:eastAsia="zh-CN"/>
        </w:rPr>
        <w:t>起</w:t>
      </w:r>
      <w:r>
        <w:rPr>
          <w:rFonts w:hint="eastAsia" w:ascii="仿宋" w:hAnsi="仿宋" w:cs="仿宋"/>
          <w:bCs/>
        </w:rPr>
        <w:t>，乙方可依照法律法规规定对标的债权涉及的债务人、担保人行使债权人的一切权利，并自行承担标的债权处置过程中可能发生的任何费用、责任、风险和损失。</w:t>
      </w:r>
    </w:p>
    <w:p>
      <w:pPr>
        <w:snapToGrid w:val="0"/>
        <w:spacing w:before="156" w:beforeLines="50" w:line="360" w:lineRule="auto"/>
        <w:ind w:firstLine="482" w:firstLineChars="200"/>
        <w:rPr>
          <w:rFonts w:ascii="仿宋" w:hAnsi="仿宋" w:cs="仿宋"/>
          <w:b/>
          <w:bCs/>
        </w:rPr>
      </w:pPr>
      <w:bookmarkStart w:id="16" w:name="_Ref120352100"/>
      <w:r>
        <w:rPr>
          <w:rFonts w:ascii="仿宋" w:hAnsi="仿宋" w:cs="仿宋"/>
          <w:b/>
          <w:bCs/>
        </w:rPr>
        <w:t xml:space="preserve">7.5 </w:t>
      </w:r>
      <w:r>
        <w:rPr>
          <w:rFonts w:hint="eastAsia" w:ascii="仿宋" w:hAnsi="仿宋" w:cs="仿宋"/>
          <w:b/>
          <w:bCs/>
        </w:rPr>
        <w:t>交割后的合作</w:t>
      </w:r>
      <w:bookmarkEnd w:id="16"/>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 </w:t>
      </w:r>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17" w:name="_Hlk136864791"/>
      <w:r>
        <w:rPr>
          <w:rFonts w:hint="eastAsia" w:ascii="仿宋" w:hAnsi="仿宋" w:cs="仿宋"/>
          <w:lang w:eastAsia="zh-Hans"/>
        </w:rPr>
        <w:t>甲方可配合乙方在交割日起   日内，按照下列方式负责将标的债权转让事宜通知债务人、担保人及相关义务人，相关费用由</w:t>
      </w:r>
      <w:r>
        <w:rPr>
          <w:rFonts w:hint="eastAsia" w:ascii="仿宋" w:hAnsi="仿宋" w:cs="仿宋"/>
          <w:lang w:val="en-US" w:eastAsia="zh-CN"/>
        </w:rPr>
        <w:t>乙</w:t>
      </w:r>
      <w:r>
        <w:rPr>
          <w:rFonts w:hint="eastAsia" w:ascii="仿宋" w:hAnsi="仿宋" w:cs="仿宋"/>
          <w:lang w:eastAsia="zh-Hans"/>
        </w:rPr>
        <w:t>方承担。</w:t>
      </w:r>
      <w:bookmarkEnd w:id="17"/>
      <w:bookmarkStart w:id="18" w:name="_Hlk137907540"/>
      <w:r>
        <w:rPr>
          <w:rFonts w:hint="eastAsia" w:ascii="仿宋" w:hAnsi="仿宋" w:cs="仿宋"/>
          <w:lang w:eastAsia="zh-Hans"/>
        </w:rPr>
        <w:t>如甲方垫付相应费用的，有权向乙方追偿或从乙方支付款项中予以抵扣</w:t>
      </w:r>
      <w:bookmarkEnd w:id="18"/>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7.5.1.2 </w:t>
      </w:r>
      <w:r>
        <w:rPr>
          <w:rFonts w:hint="eastAsia" w:ascii="仿宋" w:hAnsi="仿宋" w:cs="仿宋"/>
        </w:rPr>
        <w:t>公证通知方式。如债务人、担保人、义务人拒绝签收或无法接收的，采取现场公证送达的方式通知债务人、担保人及相关义务人；</w:t>
      </w:r>
    </w:p>
    <w:p>
      <w:pPr>
        <w:tabs>
          <w:tab w:val="left" w:pos="1260"/>
        </w:tabs>
        <w:snapToGrid w:val="0"/>
        <w:spacing w:before="156" w:beforeLines="50" w:line="360" w:lineRule="auto"/>
        <w:ind w:right="-87" w:firstLine="480" w:firstLineChars="200"/>
        <w:rPr>
          <w:rFonts w:ascii="仿宋" w:hAnsi="仿宋" w:cs="仿宋"/>
          <w:b/>
          <w:bCs/>
        </w:rPr>
      </w:pPr>
      <w:r>
        <w:rPr>
          <w:rFonts w:ascii="仿宋" w:hAnsi="仿宋" w:cs="仿宋"/>
        </w:rPr>
        <w:t xml:space="preserve">7.5.1.3 </w:t>
      </w:r>
      <w:r>
        <w:rPr>
          <w:rFonts w:hint="eastAsia" w:ascii="仿宋" w:hAnsi="仿宋" w:cs="仿宋"/>
        </w:rPr>
        <w:t>公告通知方式。对无法找到主从债务人、担保人、义务人的或拒绝签收或无法接收，</w:t>
      </w:r>
      <w:bookmarkStart w:id="19" w:name="_Hlk137907615"/>
      <w:r>
        <w:rPr>
          <w:rFonts w:hint="eastAsia" w:ascii="仿宋" w:hAnsi="仿宋" w:cs="仿宋"/>
          <w:b/>
          <w:bCs/>
          <w:lang w:eastAsia="zh-Hans"/>
        </w:rPr>
        <w:t>甲方可配合乙方</w:t>
      </w:r>
      <w:bookmarkEnd w:id="19"/>
      <w:r>
        <w:rPr>
          <w:rFonts w:hint="eastAsia" w:ascii="仿宋" w:hAnsi="仿宋" w:cs="仿宋"/>
          <w:b/>
          <w:bCs/>
        </w:rPr>
        <w:t>采用在</w:t>
      </w:r>
      <w:r>
        <w:rPr>
          <w:rFonts w:ascii="仿宋" w:hAnsi="仿宋" w:cs="仿宋"/>
          <w:b/>
          <w:bCs/>
          <w:highlight w:val="none"/>
        </w:rPr>
        <w:t xml:space="preserve">      </w:t>
      </w:r>
      <w:r>
        <w:rPr>
          <w:rFonts w:hint="eastAsia" w:ascii="仿宋" w:hAnsi="仿宋" w:cs="仿宋"/>
          <w:b/>
          <w:bCs/>
        </w:rPr>
        <w:t>上发布债权转让公告的方式通知债权转让事项；</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7.5.1.4 </w:t>
      </w:r>
      <w:r>
        <w:rPr>
          <w:rFonts w:hint="eastAsia" w:ascii="仿宋" w:hAnsi="仿宋" w:cs="仿宋"/>
        </w:rPr>
        <w:t>如受案法院否认卖方通知债务人、担保人及相关义务人债权转让事宜效力的，</w:t>
      </w:r>
      <w:r>
        <w:rPr>
          <w:rFonts w:hint="eastAsia" w:ascii="仿宋" w:hAnsi="仿宋" w:cs="仿宋"/>
          <w:lang w:eastAsia="zh-Hans"/>
        </w:rPr>
        <w:t>甲方可</w:t>
      </w:r>
      <w:r>
        <w:rPr>
          <w:rFonts w:hint="eastAsia" w:ascii="仿宋" w:hAnsi="仿宋" w:cs="仿宋"/>
        </w:rPr>
        <w:t>采取该法院认可的方式将债权转让事项通知债务人、担保人及相关义务人。</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为避免歧义，自交割日起，无论上述书面通知是否全部被签收，</w:t>
      </w:r>
      <w:bookmarkStart w:id="20" w:name="_Hlk137907640"/>
      <w:r>
        <w:rPr>
          <w:rFonts w:hint="eastAsia" w:ascii="仿宋" w:hAnsi="仿宋" w:cs="仿宋"/>
        </w:rPr>
        <w:t>在甲方配合乙方提供相应材料后</w:t>
      </w:r>
      <w:bookmarkEnd w:id="20"/>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21" w:name="_Hlk137907646"/>
      <w:r>
        <w:rPr>
          <w:rFonts w:hint="eastAsia" w:ascii="仿宋" w:hAnsi="仿宋" w:cs="仿宋"/>
        </w:rPr>
        <w:t>配合</w:t>
      </w:r>
      <w:bookmarkEnd w:id="21"/>
      <w:r>
        <w:rPr>
          <w:rFonts w:hint="eastAsia" w:ascii="仿宋" w:hAnsi="仿宋" w:cs="仿宋"/>
        </w:rPr>
        <w:t>通知义务即被视为已经履行，无需向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7.5.2 </w:t>
      </w:r>
      <w:r>
        <w:rPr>
          <w:rFonts w:hint="eastAsia" w:ascii="仿宋" w:hAnsi="仿宋" w:cs="仿宋"/>
        </w:rPr>
        <w:t>交割后，必要时甲方可应乙方要求并按照本协议附件</w:t>
      </w:r>
      <w:r>
        <w:rPr>
          <w:rFonts w:hint="eastAsia" w:ascii="仿宋" w:hAnsi="仿宋" w:cs="仿宋"/>
          <w:lang w:eastAsia="zh-Hans"/>
        </w:rPr>
        <w:t>六</w:t>
      </w:r>
      <w:r>
        <w:rPr>
          <w:rFonts w:hint="eastAsia" w:ascii="仿宋" w:hAnsi="仿宋" w:cs="仿宋"/>
        </w:rPr>
        <w:t>规定的格式出具《债权转让确认函》。</w:t>
      </w:r>
    </w:p>
    <w:p>
      <w:pPr>
        <w:snapToGrid w:val="0"/>
        <w:spacing w:before="156" w:beforeLines="50" w:line="360" w:lineRule="auto"/>
        <w:ind w:firstLine="480" w:firstLineChars="200"/>
        <w:rPr>
          <w:rFonts w:ascii="仿宋" w:hAnsi="仿宋" w:cs="仿宋"/>
        </w:rPr>
      </w:pPr>
      <w:r>
        <w:rPr>
          <w:rFonts w:ascii="仿宋" w:hAnsi="仿宋" w:cs="仿宋"/>
        </w:rPr>
        <w:t xml:space="preserve">7.5.3 </w:t>
      </w:r>
      <w:r>
        <w:rPr>
          <w:rFonts w:hint="eastAsia" w:ascii="仿宋" w:hAnsi="仿宋" w:cs="仿宋"/>
        </w:rPr>
        <w:t>标的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w:t>
      </w:r>
      <w:bookmarkStart w:id="22" w:name="_Hlk137903011"/>
      <w:r>
        <w:rPr>
          <w:rFonts w:hint="eastAsia" w:ascii="仿宋" w:hAnsi="仿宋" w:cs="仿宋"/>
        </w:rPr>
        <w:t>。</w:t>
      </w:r>
      <w:r>
        <w:rPr>
          <w:rFonts w:hint="eastAsia" w:ascii="仿宋" w:hAnsi="仿宋"/>
        </w:rPr>
        <w:t>乙方（含其任一前手）因持有及转让抵债财产发生的全部费用</w:t>
      </w:r>
      <w:bookmarkStart w:id="23" w:name="_Hlk137710158"/>
      <w:r>
        <w:rPr>
          <w:rFonts w:hint="eastAsia" w:ascii="仿宋" w:hAnsi="仿宋"/>
        </w:rPr>
        <w:t>（包括但不限于使用税费、流转税费及其他税费、土地出让金、</w:t>
      </w:r>
      <w:r>
        <w:rPr>
          <w:rFonts w:hint="eastAsia" w:ascii="仿宋" w:hAnsi="仿宋"/>
          <w:lang w:val="en-US" w:eastAsia="zh-CN"/>
        </w:rPr>
        <w:t>实缴出资款、</w:t>
      </w:r>
      <w:r>
        <w:rPr>
          <w:rFonts w:hint="eastAsia" w:ascii="仿宋" w:hAnsi="仿宋"/>
        </w:rPr>
        <w:t>登记费、手续费、滞纳金、行政处罚金</w:t>
      </w:r>
      <w:bookmarkStart w:id="24" w:name="_Hlk137904671"/>
      <w:r>
        <w:rPr>
          <w:rFonts w:hint="eastAsia" w:ascii="仿宋" w:hAnsi="仿宋"/>
        </w:rPr>
        <w:t>、水电气费、供暖费、物业费、仓储费、保管费、托管费以及各项行政事业性收费、市场服务性收费等</w:t>
      </w:r>
      <w:bookmarkEnd w:id="24"/>
      <w:r>
        <w:rPr>
          <w:rFonts w:hint="eastAsia" w:ascii="仿宋" w:hAnsi="仿宋"/>
        </w:rPr>
        <w:t>，下同）</w:t>
      </w:r>
      <w:bookmarkEnd w:id="22"/>
      <w:bookmarkEnd w:id="23"/>
      <w:r>
        <w:rPr>
          <w:rFonts w:hint="eastAsia" w:ascii="仿宋" w:hAnsi="仿宋"/>
        </w:rPr>
        <w:t>或</w:t>
      </w:r>
      <w:bookmarkStart w:id="25" w:name="_Hlk137903071"/>
      <w:r>
        <w:rPr>
          <w:rFonts w:hint="eastAsia" w:ascii="仿宋" w:hAnsi="仿宋"/>
        </w:rPr>
        <w:t>甲方因向乙方返还抵债财产而发生的全部费用，</w:t>
      </w:r>
      <w:bookmarkEnd w:id="25"/>
      <w:r>
        <w:rPr>
          <w:rFonts w:hint="eastAsia" w:ascii="仿宋" w:hAnsi="仿宋"/>
        </w:rPr>
        <w:t>均由乙方承担。</w:t>
      </w:r>
      <w:bookmarkStart w:id="26" w:name="_Hlk137460457"/>
      <w:r>
        <w:rPr>
          <w:rFonts w:hint="eastAsia" w:ascii="仿宋" w:hAnsi="仿宋" w:cs="仿宋"/>
          <w:kern w:val="48"/>
          <w:lang w:eastAsia="zh-Hans"/>
        </w:rPr>
        <w:t>如甲方根据有关法律法规缴纳了相关费用，有权向乙方追偿。</w:t>
      </w:r>
      <w:bookmarkEnd w:id="26"/>
      <w:r>
        <w:rPr>
          <w:rFonts w:hint="eastAsia" w:ascii="仿宋" w:hAnsi="仿宋" w:cs="仿宋"/>
        </w:rPr>
        <w:t>乙方逾期受领抵债资产</w:t>
      </w:r>
      <w:bookmarkStart w:id="27" w:name="_Hlk137460467"/>
      <w:r>
        <w:rPr>
          <w:rFonts w:hint="eastAsia" w:ascii="仿宋" w:hAnsi="仿宋" w:cs="仿宋"/>
        </w:rPr>
        <w:t>或未缴纳相应费用</w:t>
      </w:r>
      <w:bookmarkEnd w:id="27"/>
      <w:r>
        <w:rPr>
          <w:rFonts w:hint="eastAsia" w:ascii="仿宋" w:hAnsi="仿宋" w:cs="仿宋"/>
        </w:rPr>
        <w:t>的，需自行承担相应抵债资产在规定期限后毁损、灭失或无法过户的风险</w:t>
      </w:r>
      <w:r>
        <w:rPr>
          <w:rFonts w:hint="eastAsia"/>
          <w:lang w:eastAsia="zh-CN"/>
        </w:rPr>
        <w:t>。</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rPr>
        <w:t>虽有上述约定，乙方在此进一步确认，鉴于抵债资产存在或可能存在权属证书缺失、第三</w:t>
      </w:r>
      <w:r>
        <w:rPr>
          <w:rFonts w:hint="eastAsia" w:ascii="仿宋" w:hAnsi="仿宋" w:cs="仿宋"/>
          <w:b/>
          <w:bCs/>
          <w:lang w:eastAsia="zh-Hans"/>
        </w:rPr>
        <w:t>方</w:t>
      </w:r>
      <w:r>
        <w:rPr>
          <w:rFonts w:hint="eastAsia" w:ascii="仿宋" w:hAnsi="仿宋" w:cs="仿宋"/>
          <w:b/>
          <w:bCs/>
        </w:rPr>
        <w:t>享有优先权、不为甲方实际控制、</w:t>
      </w:r>
      <w:r>
        <w:rPr>
          <w:rFonts w:hint="eastAsia" w:ascii="仿宋" w:hAnsi="仿宋" w:cs="仿宋"/>
          <w:b/>
          <w:bCs/>
          <w:lang w:val="en-US" w:eastAsia="zh-CN"/>
        </w:rPr>
        <w:t>实缴出资不到位或抽逃出资、</w:t>
      </w:r>
      <w:r>
        <w:rPr>
          <w:rFonts w:hint="eastAsia" w:ascii="仿宋" w:hAnsi="仿宋" w:cs="仿宋"/>
          <w:b/>
          <w:bCs/>
        </w:rPr>
        <w:t>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因甲方及其前手持有该抵债资产和因办理权属变更登记过户所产生的</w:t>
      </w:r>
      <w:r>
        <w:rPr>
          <w:rFonts w:hint="eastAsia" w:ascii="仿宋" w:hAnsi="仿宋" w:cs="仿宋"/>
          <w:b/>
          <w:bCs/>
          <w:lang w:val="en-US" w:eastAsia="zh-CN"/>
        </w:rPr>
        <w:t>欠付土地出让金、实缴出资款、</w:t>
      </w:r>
      <w:r>
        <w:rPr>
          <w:rFonts w:hint="eastAsia" w:ascii="仿宋" w:hAnsi="仿宋" w:cs="仿宋"/>
          <w:b/>
          <w:bCs/>
        </w:rPr>
        <w:t>使用税费、流转税费、</w:t>
      </w:r>
      <w:bookmarkStart w:id="28" w:name="_Hlk137907789"/>
      <w:r>
        <w:rPr>
          <w:rFonts w:hint="eastAsia" w:ascii="仿宋" w:hAnsi="仿宋" w:cs="仿宋"/>
          <w:b/>
          <w:bCs/>
        </w:rPr>
        <w:t>登记费、手续费、滞纳金、行政处罚金、水电气费、供暖费、物业费、</w:t>
      </w:r>
      <w:r>
        <w:rPr>
          <w:rFonts w:hint="eastAsia" w:ascii="仿宋" w:hAnsi="仿宋"/>
          <w:b/>
          <w:bCs/>
        </w:rPr>
        <w:t>仓储费、保管费</w:t>
      </w:r>
      <w:r>
        <w:rPr>
          <w:rFonts w:hint="eastAsia" w:ascii="仿宋" w:hAnsi="仿宋"/>
        </w:rPr>
        <w:t>、</w:t>
      </w:r>
      <w:r>
        <w:rPr>
          <w:rFonts w:hint="eastAsia" w:ascii="仿宋" w:hAnsi="仿宋" w:cs="仿宋"/>
          <w:b/>
          <w:bCs/>
        </w:rPr>
        <w:t>托管费以及各项行政事业性收费、市场服务性收费</w:t>
      </w:r>
      <w:bookmarkEnd w:id="28"/>
      <w:r>
        <w:rPr>
          <w:rFonts w:hint="eastAsia" w:ascii="仿宋" w:hAnsi="仿宋" w:cs="仿宋"/>
          <w:b/>
          <w:bCs/>
        </w:rPr>
        <w:t>等），</w:t>
      </w:r>
      <w:r>
        <w:rPr>
          <w:rFonts w:hint="eastAsia" w:ascii="仿宋" w:hAnsi="仿宋" w:cs="仿宋"/>
          <w:b/>
          <w:bCs/>
          <w:color w:val="000000"/>
        </w:rPr>
        <w:t>乙方承诺不因抵债资产过户不能或不能实际占有而向甲方主张回购该项债权或要求甲方承担赔偿责任</w:t>
      </w:r>
      <w:r>
        <w:rPr>
          <w:rFonts w:hint="eastAsia" w:ascii="仿宋" w:hAnsi="仿宋" w:cs="仿宋"/>
          <w:color w:val="000000"/>
        </w:rPr>
        <w:t>。</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7.5.4 </w:t>
      </w:r>
      <w:r>
        <w:rPr>
          <w:rFonts w:hint="eastAsia" w:ascii="仿宋" w:hAnsi="仿宋" w:cs="仿宋"/>
        </w:rPr>
        <w:t>交割日后，甲方将根据相关规定，出具必要的债权转移证明文件，配合和协助乙方办理已转让的标的债权所涉及的诉讼（含仲裁、执行）主体变更</w:t>
      </w:r>
      <w:r>
        <w:rPr>
          <w:rFonts w:ascii="仿宋" w:hAnsi="仿宋" w:cs="仿宋"/>
        </w:rPr>
        <w:t>、变更抵质押登记手续或其他法律手续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进行任何</w:t>
      </w:r>
      <w:r>
        <w:rPr>
          <w:rFonts w:hint="eastAsia" w:ascii="仿宋" w:hAnsi="仿宋" w:cs="仿宋"/>
          <w:color w:val="000000"/>
          <w:lang w:eastAsia="zh-Hans"/>
        </w:rPr>
        <w:t>前述</w:t>
      </w:r>
      <w:r>
        <w:rPr>
          <w:rFonts w:hint="eastAsia" w:ascii="仿宋" w:hAnsi="仿宋" w:cs="仿宋"/>
          <w:color w:val="000000"/>
        </w:rPr>
        <w:t>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r>
        <w:rPr>
          <w:rFonts w:ascii="仿宋" w:hAnsi="仿宋" w:cs="仿宋"/>
          <w:color w:val="000000"/>
          <w:lang w:eastAsia="zh-Hans"/>
        </w:rPr>
        <w:t xml:space="preserve">   </w:t>
      </w:r>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snapToGrid w:val="0"/>
        <w:spacing w:before="156" w:beforeLines="50" w:line="360" w:lineRule="auto"/>
        <w:ind w:firstLine="482" w:firstLineChars="200"/>
        <w:rPr>
          <w:rFonts w:ascii="仿宋" w:hAnsi="仿宋" w:cs="仿宋"/>
          <w:b/>
          <w:bCs/>
          <w:color w:val="000000"/>
        </w:rPr>
      </w:pPr>
      <w:r>
        <w:rPr>
          <w:rFonts w:ascii="仿宋" w:hAnsi="仿宋" w:cs="仿宋"/>
          <w:b/>
          <w:color w:val="000000"/>
        </w:rPr>
        <w:t xml:space="preserve">7.6 </w:t>
      </w:r>
      <w:r>
        <w:rPr>
          <w:rFonts w:hint="eastAsia" w:ascii="仿宋" w:hAnsi="仿宋" w:cs="仿宋"/>
          <w:b/>
          <w:bCs/>
          <w:color w:val="000000"/>
        </w:rPr>
        <w:t>服务协议权利义务的转移</w:t>
      </w:r>
    </w:p>
    <w:p>
      <w:pPr>
        <w:snapToGrid w:val="0"/>
        <w:spacing w:before="156" w:beforeLines="50" w:line="360" w:lineRule="auto"/>
        <w:ind w:firstLine="480" w:firstLineChars="200"/>
        <w:rPr>
          <w:rFonts w:ascii="仿宋" w:hAnsi="仿宋" w:cs="仿宋"/>
          <w:color w:val="000000"/>
        </w:rPr>
      </w:pPr>
      <w:r>
        <w:rPr>
          <w:rFonts w:ascii="仿宋" w:hAnsi="仿宋" w:cs="仿宋"/>
          <w:color w:val="000000"/>
        </w:rPr>
        <w:t xml:space="preserve">7.6.1 </w:t>
      </w:r>
      <w:r>
        <w:rPr>
          <w:rFonts w:hint="eastAsia" w:ascii="仿宋" w:hAnsi="仿宋" w:cs="仿宋"/>
          <w:color w:val="000000"/>
        </w:rPr>
        <w:t>对于本协议附件三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t>
      </w:r>
    </w:p>
    <w:p>
      <w:pPr>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过渡期内，甲方与中介机构达成相关服务协议的，应约定后续可能由乙方承继服务的情况，协议应明确如中介机构拒绝为乙方继续提供服务的，相关服务协议自动无条件解除。</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第八条</w:t>
      </w:r>
      <w:r>
        <w:t xml:space="preserve">  </w:t>
      </w:r>
      <w:r>
        <w:rPr>
          <w:rFonts w:hint="eastAsia"/>
        </w:rPr>
        <w:t>过渡期标的债权的管理</w:t>
      </w:r>
    </w:p>
    <w:p>
      <w:pPr>
        <w:snapToGrid w:val="0"/>
        <w:spacing w:before="156" w:beforeLines="50" w:line="360" w:lineRule="auto"/>
        <w:ind w:firstLine="480" w:firstLineChars="200"/>
        <w:rPr>
          <w:rFonts w:ascii="仿宋" w:hAnsi="仿宋" w:cs="仿宋"/>
        </w:rPr>
      </w:pPr>
      <w:r>
        <w:rPr>
          <w:rFonts w:ascii="仿宋" w:hAnsi="仿宋" w:cs="仿宋"/>
        </w:rPr>
        <w:t xml:space="preserve">8.1 </w:t>
      </w:r>
      <w:r>
        <w:rPr>
          <w:rFonts w:hint="eastAsia" w:ascii="仿宋" w:hAnsi="仿宋" w:cs="仿宋"/>
        </w:rPr>
        <w:t>双方确认，在交割日前，标的债权仍归甲方所有，甲方有权按照本协议的约定对标的债权进行管理和维护。在过渡期内，甲方拥有对标的债权的自主处置权，但应按照国家相关法律法规及国家有关主管部门关于不良资产处置的规定处置标的债权。</w:t>
      </w:r>
      <w:bookmarkStart w:id="29" w:name="_Ref118451937"/>
      <w:r>
        <w:rPr>
          <w:rFonts w:hint="eastAsia" w:ascii="仿宋" w:hAnsi="仿宋" w:cs="仿宋"/>
        </w:rPr>
        <w:t>过渡期内发生的处置费用均由乙方承担，该费用由甲方按本协议第8.3条的约定直接予以扣除，但无现金回收或现金少于处置费用的，乙方应按甲方的通知支付相应费用。</w:t>
      </w:r>
    </w:p>
    <w:p>
      <w:pPr>
        <w:snapToGrid w:val="0"/>
        <w:spacing w:before="156" w:beforeLines="50" w:line="360" w:lineRule="auto"/>
        <w:ind w:firstLine="480" w:firstLineChars="200"/>
        <w:rPr>
          <w:rFonts w:ascii="仿宋" w:hAnsi="仿宋" w:cs="仿宋"/>
        </w:rPr>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甲方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8.3 </w:t>
      </w:r>
      <w:r>
        <w:rPr>
          <w:rFonts w:hint="eastAsia" w:ascii="仿宋" w:hAnsi="仿宋" w:cs="仿宋"/>
        </w:rPr>
        <w:t>甲方有权就过渡期对标的债权提供的服务向乙方收取服务报酬（过渡期服务报酬）。过渡期服务报酬为：（</w:t>
      </w:r>
      <w:r>
        <w:rPr>
          <w:rFonts w:ascii="仿宋" w:hAnsi="仿宋" w:cs="仿宋"/>
        </w:rPr>
        <w:t>1）每月按转让价款的    %计算的月费（不足一月按一个月计算），加上（2）过渡期内就标的债权获得的净现金回收（过渡期内标的债权实现的现金及非现金</w:t>
      </w:r>
      <w:r>
        <w:rPr>
          <w:rFonts w:hint="eastAsia" w:ascii="仿宋" w:hAnsi="仿宋" w:cs="仿宋"/>
        </w:rPr>
        <w:t>资产变现款</w:t>
      </w:r>
      <w:r>
        <w:rPr>
          <w:rFonts w:ascii="仿宋" w:hAnsi="仿宋" w:cs="仿宋"/>
        </w:rPr>
        <w:t>在扣除处置费用后的净额）的    %收取的激励费之和。过渡期服务报酬应根据本协议第7.4.1</w:t>
      </w:r>
      <w:r>
        <w:rPr>
          <w:rFonts w:hint="eastAsia" w:ascii="仿宋" w:hAnsi="仿宋" w:cs="仿宋"/>
          <w:lang w:eastAsia="zh-Hans"/>
        </w:rPr>
        <w:t>条</w:t>
      </w:r>
      <w:r>
        <w:rPr>
          <w:rFonts w:ascii="仿宋" w:hAnsi="仿宋" w:cs="仿宋"/>
        </w:rPr>
        <w:t>支付。</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8.4</w:t>
      </w:r>
      <w:r>
        <w:rPr>
          <w:rFonts w:hint="eastAsia" w:ascii="仿宋" w:hAnsi="仿宋" w:cs="仿宋"/>
        </w:rPr>
        <w:t>过渡期内，甲方应对标的债权所涉的诉讼时效和</w:t>
      </w:r>
      <w:r>
        <w:rPr>
          <w:rFonts w:ascii="仿宋" w:hAnsi="仿宋" w:cs="仿宋"/>
        </w:rPr>
        <w:t>/或法定期间进行维护，但代位权、撤销权、申诉权和复议权的行使除外。标的债权在基准日之前已经超过诉讼时效或法定期间的，不属于甲方维护的范围。</w:t>
      </w:r>
    </w:p>
    <w:bookmarkEnd w:id="29"/>
    <w:p>
      <w:pPr>
        <w:pStyle w:val="3"/>
        <w:numPr>
          <w:ilvl w:val="255"/>
          <w:numId w:val="0"/>
        </w:numPr>
        <w:snapToGrid w:val="0"/>
        <w:spacing w:before="156" w:beforeLines="50" w:line="360" w:lineRule="auto"/>
        <w:ind w:right="-87" w:firstLine="482" w:firstLineChars="200"/>
      </w:pPr>
      <w:r>
        <w:rPr>
          <w:rFonts w:hint="eastAsia"/>
        </w:rPr>
        <w:t>第九条</w:t>
      </w:r>
      <w:r>
        <w:t xml:space="preserve">  </w:t>
      </w:r>
      <w:r>
        <w:rPr>
          <w:rFonts w:hint="eastAsia"/>
        </w:rPr>
        <w:t>陈述、保证与承诺</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9.1 甲方的</w:t>
      </w:r>
      <w:r>
        <w:rPr>
          <w:rFonts w:hint="eastAsia" w:ascii="仿宋" w:hAnsi="仿宋" w:cs="仿宋"/>
          <w:b/>
        </w:rPr>
        <w:t>陈述、保证与承诺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9.1.1 </w:t>
      </w:r>
      <w:r>
        <w:rPr>
          <w:rFonts w:hint="eastAsia" w:ascii="仿宋" w:hAnsi="仿宋" w:cs="仿宋"/>
          <w:b/>
        </w:rPr>
        <w:t>签约和履约资格保证</w:t>
      </w:r>
      <w:r>
        <w:rPr>
          <w:rFonts w:hint="eastAsia" w:ascii="仿宋" w:hAnsi="仿宋" w:cs="仿宋"/>
        </w:rPr>
        <w:t>。甲方保证具有签署本协议的主体资格，并已获得签署和履行本协议的相应授权或批准。</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9.1.2 </w:t>
      </w:r>
      <w:r>
        <w:rPr>
          <w:rFonts w:hint="eastAsia" w:ascii="仿宋" w:hAnsi="仿宋" w:cs="仿宋"/>
          <w:b/>
        </w:rPr>
        <w:t>诚信管理的保证</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9.2 </w:t>
      </w:r>
      <w:r>
        <w:rPr>
          <w:rFonts w:hint="eastAsia" w:ascii="仿宋" w:hAnsi="仿宋" w:cs="仿宋"/>
          <w:b/>
        </w:rPr>
        <w:t>乙方的陈述、保证与承诺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9.2.1 </w:t>
      </w:r>
      <w:r>
        <w:rPr>
          <w:rFonts w:hint="eastAsia" w:ascii="仿宋" w:hAnsi="仿宋" w:cs="仿宋"/>
          <w:b/>
        </w:rPr>
        <w:t>签约和履约资格保证</w:t>
      </w:r>
      <w:r>
        <w:rPr>
          <w:rFonts w:hint="eastAsia" w:ascii="仿宋" w:hAnsi="仿宋" w:cs="仿宋"/>
          <w:bCs/>
        </w:rPr>
        <w:t>。</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原债务人或者受托资产评估机构负责人员等有近亲属关系的人员；不属于标的债权原债务人及关联企业等利益相关方；亦不属于其他相关法律法规中规定的不得购买或变相购买不良资产的主体，不属于前述主体投资、控制或享有其他权益的企业或其他实体，并进一步保证不向前述主体或其投资、控制的实体转让标的债权。</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、影响债务履行的直接责任人员、实际控制人；不属于标的债权所涉及的债务人、相关担保人</w:t>
      </w:r>
      <w:bookmarkStart w:id="30" w:name="_Hlk116292797"/>
      <w:r>
        <w:rPr>
          <w:rFonts w:hint="eastAsia" w:ascii="仿宋" w:hAnsi="仿宋" w:cs="仿宋"/>
        </w:rPr>
        <w:t>、其关联方及债务人、相关担保人委托的主体</w:t>
      </w:r>
      <w:bookmarkEnd w:id="30"/>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乙方保证其为签署、履行本协议而向甲方提供的所有证明、文件、资料和信息，均在提供资料的当日和适用</w:t>
      </w:r>
      <w:r>
        <w:rPr>
          <w:rFonts w:ascii="仿宋" w:hAnsi="仿宋" w:cs="仿宋"/>
        </w:rPr>
        <w:t>/使用期内是真实、准确和完整的，不存在故意隐瞒和欺骗的情况。</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w:t>
      </w:r>
      <w:r>
        <w:rPr>
          <w:rFonts w:hint="eastAsia" w:ascii="仿宋" w:hAnsi="仿宋" w:cs="仿宋"/>
          <w:lang w:eastAsia="zh-Hans"/>
        </w:rPr>
        <w:t>协议</w:t>
      </w:r>
      <w:r>
        <w:rPr>
          <w:rFonts w:hint="eastAsia" w:ascii="仿宋" w:hAnsi="仿宋" w:cs="仿宋"/>
        </w:rPr>
        <w:t>不与由其签署的任何已生效的契约性法律文件规定的义务相冲突。</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9.2.4 </w:t>
      </w:r>
      <w:r>
        <w:rPr>
          <w:rFonts w:hint="eastAsia" w:ascii="仿宋" w:hAnsi="仿宋" w:cs="仿宋"/>
          <w:b/>
        </w:rPr>
        <w:t>审慎调查和独立判断保证</w:t>
      </w:r>
      <w:r>
        <w:rPr>
          <w:rFonts w:hint="eastAsia" w:ascii="仿宋" w:hAnsi="仿宋" w:cs="仿宋"/>
          <w:bCs/>
        </w:rPr>
        <w:t>。</w:t>
      </w:r>
      <w:r>
        <w:rPr>
          <w:rFonts w:hint="eastAsia" w:ascii="仿宋" w:hAnsi="仿宋" w:cs="仿宋"/>
          <w:b/>
        </w:rPr>
        <w:t>乙方确认，在参与转让活动前已认真审阅了标的债权证明文件，对标的债权的现状进行了审慎的调查，</w:t>
      </w:r>
      <w:r>
        <w:rPr>
          <w:rFonts w:hint="eastAsia" w:ascii="仿宋" w:hAnsi="仿宋" w:cs="仿宋"/>
          <w:b/>
          <w:color w:val="000000"/>
        </w:rPr>
        <w:t>并自行估计了标的债权可能的可收回性，</w:t>
      </w:r>
      <w:r>
        <w:rPr>
          <w:rFonts w:hint="eastAsia" w:ascii="仿宋" w:hAnsi="仿宋" w:cs="仿宋"/>
          <w:b/>
        </w:rPr>
        <w:t>乙方参与转让活动，即视为已经完全接受并知悉标的债权</w:t>
      </w:r>
      <w:r>
        <w:rPr>
          <w:rFonts w:hint="eastAsia" w:ascii="仿宋" w:hAnsi="仿宋" w:cs="仿宋"/>
          <w:b/>
          <w:color w:val="000000"/>
        </w:rPr>
        <w:t>存在或可能存在的所有风险或瑕疵</w:t>
      </w:r>
      <w:r>
        <w:rPr>
          <w:rFonts w:hint="eastAsia" w:ascii="仿宋" w:hAnsi="仿宋" w:cs="仿宋"/>
          <w:b/>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31" w:name="_Hlk136864864"/>
      <w:r>
        <w:rPr>
          <w:rFonts w:hint="eastAsia" w:ascii="仿宋" w:hAnsi="仿宋" w:cs="仿宋"/>
        </w:rPr>
        <w:t>（包括甲方的任一前手）</w:t>
      </w:r>
      <w:bookmarkEnd w:id="31"/>
      <w:r>
        <w:rPr>
          <w:rFonts w:hint="eastAsia" w:ascii="仿宋" w:hAnsi="仿宋" w:cs="仿宋"/>
        </w:rPr>
        <w:t>主张本条项下已放弃的全部权利，或要求前手权利人或甲方（包括甲方的任一前手）承担与此有关的任何法律责任。</w:t>
      </w:r>
    </w:p>
    <w:p>
      <w:pPr>
        <w:tabs>
          <w:tab w:val="left" w:pos="1260"/>
        </w:tabs>
        <w:snapToGrid w:val="0"/>
        <w:spacing w:before="156" w:beforeLines="50" w:line="360" w:lineRule="auto"/>
        <w:ind w:right="-87" w:firstLine="480" w:firstLineChars="200"/>
        <w:rPr>
          <w:rFonts w:ascii="仿宋" w:hAnsi="仿宋" w:cs="仿宋"/>
          <w:b/>
        </w:rPr>
      </w:pPr>
      <w:r>
        <w:rPr>
          <w:rFonts w:ascii="仿宋" w:hAnsi="仿宋" w:cs="仿宋"/>
        </w:rPr>
        <w:t xml:space="preserve">9.2.5.2 </w:t>
      </w:r>
      <w:r>
        <w:rPr>
          <w:rFonts w:hint="eastAsia" w:ascii="仿宋" w:hAnsi="仿宋" w:cs="仿宋"/>
        </w:rPr>
        <w: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规定的活动。</w:t>
      </w:r>
      <w:r>
        <w:rPr>
          <w:rFonts w:hint="eastAsia" w:ascii="仿宋" w:hAnsi="仿宋" w:cs="仿宋"/>
          <w:b/>
        </w:rPr>
        <w:t>（适用于乙方为境外投资者的情形）</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rPr>
        <w:t xml:space="preserve">9.2.5.3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rPr>
        <w:t xml:space="preserve">9.2.5.4 </w:t>
      </w:r>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w:t>
      </w:r>
      <w:r>
        <w:rPr>
          <w:rFonts w:hint="eastAsia" w:ascii="仿宋" w:hAnsi="仿宋" w:cs="仿宋"/>
          <w:b/>
          <w:bCs/>
        </w:rPr>
        <w:t>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bCs/>
        </w:rPr>
        <w:t>。</w:t>
      </w:r>
    </w:p>
    <w:p>
      <w:pPr>
        <w:tabs>
          <w:tab w:val="left" w:pos="1260"/>
        </w:tabs>
        <w:snapToGrid w:val="0"/>
        <w:spacing w:before="156" w:beforeLines="50" w:line="360" w:lineRule="auto"/>
        <w:ind w:right="-87" w:firstLine="480" w:firstLineChars="200"/>
        <w:rPr>
          <w:rFonts w:ascii="仿宋" w:hAnsi="仿宋" w:cs="仿宋"/>
          <w:b/>
        </w:rPr>
      </w:pPr>
      <w:r>
        <w:rPr>
          <w:rFonts w:ascii="仿宋" w:hAnsi="仿宋" w:cs="仿宋"/>
          <w:bCs/>
        </w:rPr>
        <w:t>9.2.6</w:t>
      </w:r>
      <w:r>
        <w:rPr>
          <w:rFonts w:ascii="仿宋" w:hAnsi="仿宋" w:cs="仿宋"/>
          <w:b/>
          <w:bCs/>
        </w:rPr>
        <w:t xml:space="preserve"> </w:t>
      </w:r>
      <w:r>
        <w:rPr>
          <w:rFonts w:hint="eastAsia" w:ascii="仿宋" w:hAnsi="仿宋" w:cs="仿宋"/>
          <w:b/>
        </w:rPr>
        <w:t>因国家金融监管政策发生变化或甲方主管部门、监管机构对相关交易提出管理要求或司法机关提出司法建议，致使本协议不符合相关规定的，甲方有权</w:t>
      </w:r>
      <w:r>
        <w:rPr>
          <w:rFonts w:hint="eastAsia" w:ascii="仿宋" w:hAnsi="仿宋" w:cs="仿宋"/>
          <w:b/>
          <w:bCs/>
        </w:rPr>
        <w:t>向乙方发出解除本协议通知，单方解除本协议</w:t>
      </w:r>
      <w:r>
        <w:rPr>
          <w:rFonts w:hint="eastAsia" w:ascii="仿宋" w:hAnsi="仿宋" w:cs="仿宋"/>
          <w:b/>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乙方承诺若本协议非因甲乙双方原因而被解除或无效的，在乙方向甲方返还标的债权（含乙方对标的债权实现的回收）的前提下，</w:t>
      </w:r>
      <w:bookmarkStart w:id="32" w:name="_Hlk136864875"/>
      <w:r>
        <w:rPr>
          <w:rFonts w:hint="eastAsia" w:ascii="仿宋" w:hAnsi="仿宋" w:cs="仿宋"/>
          <w:b/>
          <w:bCs/>
        </w:rPr>
        <w:t>甲方应按照如下第   种方式向乙方返还转让价款：（1）向乙方返还转让价款（转让价款按照乙方返还债权占标的债权的比例确定）且无需支付利息或资金占用费等其他费用；（2）向乙方返还转让价款（转让价款按照乙方返还债权占标的债权的比例确定），并按照活期银行存款利率计算到截止返还日的利息</w:t>
      </w:r>
      <w:bookmarkEnd w:id="32"/>
      <w:r>
        <w:rPr>
          <w:rFonts w:ascii="仿宋" w:hAnsi="仿宋" w:cs="仿宋"/>
          <w:b/>
          <w:bCs/>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r>
        <w:rPr>
          <w:rFonts w:hint="eastAsia" w:ascii="仿宋" w:hAnsi="仿宋" w:cs="仿宋"/>
          <w:b/>
          <w:bCs/>
        </w:rPr>
        <w:t>违约</w:t>
      </w:r>
      <w:r>
        <w:rPr>
          <w:rFonts w:ascii="仿宋" w:hAnsi="仿宋" w:cs="仿宋"/>
          <w:b/>
          <w:bCs/>
        </w:rPr>
        <w:t>原因而被解除或无效的情况下，不影响本款约定的有效性。</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9.2.9 </w:t>
      </w:r>
      <w:r>
        <w:rPr>
          <w:rFonts w:ascii="仿宋" w:hAnsi="仿宋" w:cs="仿宋"/>
          <w:b/>
          <w:bCs/>
          <w:color w:val="000000"/>
        </w:rPr>
        <w:t>破产程序中的变更</w:t>
      </w:r>
      <w:r>
        <w:rPr>
          <w:rFonts w:hint="eastAsia" w:ascii="仿宋" w:hAnsi="仿宋" w:cs="仿宋"/>
          <w:color w:val="000000"/>
        </w:rPr>
        <w:t>。</w:t>
      </w:r>
      <w:r>
        <w:rPr>
          <w:rFonts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ascii="仿宋" w:hAnsi="仿宋" w:cs="仿宋"/>
          <w:color w:val="000000"/>
        </w:rPr>
        <w:t>不承担因破产管辖法院拒绝变更登记或乙方因办理或不办理变更手续而发生的任何不利后果。</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9.2.10 </w:t>
      </w:r>
      <w:r>
        <w:rPr>
          <w:rFonts w:hint="eastAsia" w:ascii="仿宋" w:hAnsi="仿宋" w:cs="仿宋"/>
          <w:b/>
          <w:bCs/>
        </w:rPr>
        <w:t>资金来源合法性保证</w:t>
      </w:r>
      <w:r>
        <w:rPr>
          <w:rFonts w:hint="eastAsia" w:ascii="仿宋" w:hAnsi="仿宋" w:cs="仿宋"/>
        </w:rPr>
        <w:t>。</w:t>
      </w:r>
      <w:r>
        <w:rPr>
          <w:rFonts w:ascii="仿宋" w:hAnsi="仿宋" w:cs="仿宋"/>
          <w:color w:val="000000"/>
        </w:rPr>
        <w:t>乙方保证，转让价款资金来源合法、合规，为乙方依法可支配的财产，</w:t>
      </w:r>
      <w:bookmarkStart w:id="33" w:name="OLE_LINK2"/>
      <w:r>
        <w:rPr>
          <w:rFonts w:hint="eastAsia" w:ascii="仿宋" w:hAnsi="仿宋" w:cs="仿宋"/>
          <w:color w:val="000000"/>
        </w:rPr>
        <w:t>非直接或间接来源于债务人、担保人及其关联方等利益相关方，</w:t>
      </w:r>
      <w:bookmarkEnd w:id="33"/>
      <w:r>
        <w:rPr>
          <w:rFonts w:ascii="仿宋" w:hAnsi="仿宋" w:cs="仿宋"/>
          <w:color w:val="000000"/>
        </w:rPr>
        <w:t>不涉及洗钱、毒品犯罪、黑社会犯罪、恐怖主义犯罪、贪污贿赂等违法犯罪行为。</w:t>
      </w:r>
      <w:r>
        <w:rPr>
          <w:rFonts w:hint="eastAsia" w:ascii="仿宋" w:hAnsi="仿宋" w:cs="仿宋"/>
          <w:color w:val="000000"/>
        </w:rPr>
        <w:t>乙方负有配合甲方开展反洗钱和反恐怖融资工作的义务，应甲方要求提供身份证明等反洗钱和反恐怖融资工作所需材料，完成反洗钱和反恐怖融资审查，包括但不限于按照甲方要求如实提供包括但不限于乙方及其受益所有人的身份信息、资金来源、交易目的以及相关证明文件、财务报表及其他甲方需要的任何资料与信息，并保证所提供给甲方资料及信息的真实性、准确性及完整性。乙方应确保合作期间持续满足甲方反洗钱和反恐怖融资客户及其受益所有人身份持续识别及风险等级动态评估工作需要，及时向甲方提供乙方及其受益所有人信息变更情况</w:t>
      </w:r>
      <w:r>
        <w:rPr>
          <w:rFonts w:ascii="仿宋" w:hAnsi="仿宋" w:cs="仿宋"/>
          <w:color w:val="000000"/>
        </w:rPr>
        <w:t>。</w:t>
      </w:r>
    </w:p>
    <w:p>
      <w:pPr>
        <w:tabs>
          <w:tab w:val="left" w:pos="1260"/>
        </w:tabs>
        <w:snapToGrid w:val="0"/>
        <w:spacing w:before="156" w:beforeLines="50" w:line="360" w:lineRule="auto"/>
        <w:ind w:right="-87" w:firstLine="480" w:firstLineChars="200"/>
      </w:pPr>
      <w:bookmarkStart w:id="34" w:name="_Hlk122890460"/>
      <w:r>
        <w:rPr>
          <w:rFonts w:hint="eastAsia" w:ascii="仿宋" w:hAnsi="仿宋" w:cs="仿宋"/>
          <w:color w:val="000000"/>
        </w:rPr>
        <w:t>9</w:t>
      </w:r>
      <w:r>
        <w:rPr>
          <w:rFonts w:ascii="仿宋" w:hAnsi="仿宋" w:cs="仿宋"/>
          <w:color w:val="000000"/>
        </w:rPr>
        <w:t>.2.11</w:t>
      </w:r>
      <w:bookmarkStart w:id="35" w:name="_Hlk122719420"/>
      <w:r>
        <w:rPr>
          <w:rFonts w:hint="eastAsia" w:ascii="仿宋" w:hAnsi="仿宋" w:cs="仿宋"/>
          <w:lang w:bidi="ar"/>
        </w:rPr>
        <w:t>乙方同意甲方</w:t>
      </w:r>
      <w:bookmarkStart w:id="36" w:name="_Hlk122719483"/>
      <w:r>
        <w:rPr>
          <w:rFonts w:hint="eastAsia" w:ascii="仿宋" w:hAnsi="仿宋" w:cs="仿宋"/>
          <w:lang w:bidi="ar"/>
        </w:rPr>
        <w:t>在本协议有效期限内</w:t>
      </w:r>
      <w:bookmarkEnd w:id="36"/>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34"/>
      <w:bookmarkEnd w:id="35"/>
    </w:p>
    <w:p>
      <w:pPr>
        <w:pStyle w:val="3"/>
        <w:numPr>
          <w:ilvl w:val="255"/>
          <w:numId w:val="0"/>
        </w:numPr>
        <w:snapToGrid w:val="0"/>
        <w:spacing w:before="156" w:beforeLines="50" w:line="360" w:lineRule="auto"/>
        <w:ind w:firstLine="482" w:firstLineChars="200"/>
      </w:pPr>
      <w:r>
        <w:rPr>
          <w:rFonts w:hint="eastAsia"/>
        </w:rPr>
        <w:t>第十条</w:t>
      </w:r>
      <w:r>
        <w:t xml:space="preserve">  </w:t>
      </w:r>
      <w:r>
        <w:rPr>
          <w:rFonts w:hint="eastAsia"/>
        </w:rPr>
        <w:t>保密条款</w:t>
      </w:r>
    </w:p>
    <w:p>
      <w:pPr>
        <w:snapToGrid w:val="0"/>
        <w:spacing w:before="156" w:beforeLines="50" w:line="360" w:lineRule="auto"/>
        <w:ind w:firstLine="480" w:firstLineChars="200"/>
        <w:rPr>
          <w:rFonts w:ascii="仿宋" w:hAnsi="仿宋" w:cs="仿宋"/>
        </w:rPr>
      </w:pPr>
      <w:r>
        <w:rPr>
          <w:rFonts w:ascii="仿宋" w:hAnsi="仿宋" w:cs="仿宋"/>
        </w:rPr>
        <w:t>10.1 本协议双方一致同意，其对本协议</w:t>
      </w:r>
      <w:r>
        <w:rPr>
          <w:rFonts w:hint="eastAsia" w:ascii="仿宋" w:hAnsi="仿宋" w:cs="仿宋"/>
        </w:rPr>
        <w:t>以及本协议</w:t>
      </w:r>
      <w:r>
        <w:rPr>
          <w:rFonts w:ascii="仿宋" w:hAnsi="仿宋" w:cs="仿宋"/>
        </w:rPr>
        <w:t>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的信息披露义务的；</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3）该等资料可由公开途径获得或者该资料的披露是法律法规的要求；</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6）因处置债权</w:t>
      </w:r>
      <w:r>
        <w:rPr>
          <w:rFonts w:hint="eastAsia" w:ascii="仿宋" w:hAnsi="仿宋" w:cs="仿宋"/>
        </w:rPr>
        <w:t>等资产</w:t>
      </w:r>
      <w:r>
        <w:rPr>
          <w:rFonts w:ascii="仿宋" w:hAnsi="仿宋" w:cs="仿宋"/>
        </w:rPr>
        <w:t>向受让方或潜在受让方进行的披露；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7）本协议另有约定或法律法规规定的情形。</w:t>
      </w:r>
    </w:p>
    <w:p>
      <w:pPr>
        <w:snapToGrid w:val="0"/>
        <w:spacing w:before="156" w:beforeLines="50" w:line="360" w:lineRule="auto"/>
        <w:ind w:firstLine="480" w:firstLineChars="200"/>
        <w:rPr>
          <w:rFonts w:ascii="仿宋" w:hAnsi="仿宋" w:cs="仿宋"/>
        </w:rPr>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snapToGrid w:val="0"/>
        <w:spacing w:before="156" w:beforeLines="50" w:line="360" w:lineRule="auto"/>
        <w:ind w:firstLine="480" w:firstLineChars="200"/>
        <w:rPr>
          <w:rFonts w:ascii="仿宋" w:hAnsi="仿宋" w:cs="仿宋"/>
        </w:rPr>
      </w:pPr>
      <w:r>
        <w:rPr>
          <w:rFonts w:ascii="仿宋" w:hAnsi="仿宋" w:cs="仿宋"/>
        </w:rPr>
        <w:t xml:space="preserve">10.3 </w:t>
      </w:r>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p>
    <w:p>
      <w:pPr>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0.4 本条的</w:t>
      </w:r>
      <w:r>
        <w:rPr>
          <w:rFonts w:hint="eastAsia" w:ascii="仿宋" w:hAnsi="仿宋" w:cs="仿宋"/>
        </w:rPr>
        <w:t>约定在</w:t>
      </w:r>
      <w:r>
        <w:rPr>
          <w:rFonts w:ascii="仿宋" w:hAnsi="仿宋" w:cs="仿宋"/>
        </w:rPr>
        <w:t>本协议终止后仍然有效。</w:t>
      </w:r>
      <w:bookmarkStart w:id="37" w:name="_Hlk118460258"/>
      <w:r>
        <w:rPr>
          <w:rFonts w:hint="eastAsia" w:ascii="仿宋" w:hAnsi="仿宋" w:cs="仿宋"/>
        </w:rPr>
        <w:t>保密期限为自知悉保密信息之日起至该信息成为公开信息之日止。</w:t>
      </w:r>
    </w:p>
    <w:bookmarkEnd w:id="37"/>
    <w:p>
      <w:pPr>
        <w:snapToGrid w:val="0"/>
        <w:spacing w:before="156" w:beforeLines="50" w:line="360" w:lineRule="auto"/>
        <w:ind w:firstLine="482" w:firstLineChars="200"/>
      </w:pPr>
      <w:r>
        <w:rPr>
          <w:rFonts w:ascii="仿宋" w:hAnsi="仿宋" w:cs="仿宋"/>
          <w:b/>
          <w:bCs/>
        </w:rPr>
        <w:t>（</w:t>
      </w:r>
      <w:r>
        <w:rPr>
          <w:rFonts w:hint="eastAsia" w:ascii="仿宋" w:hAnsi="仿宋" w:cs="仿宋"/>
          <w:b/>
          <w:bCs/>
        </w:rPr>
        <w:t>具体保密条款是否添加，可根据商务谈判确定</w:t>
      </w:r>
      <w:r>
        <w:rPr>
          <w:rFonts w:ascii="仿宋" w:hAnsi="仿宋" w:cs="仿宋"/>
          <w:b/>
          <w:bCs/>
        </w:rPr>
        <w:t>）</w:t>
      </w:r>
    </w:p>
    <w:p>
      <w:pPr>
        <w:pStyle w:val="3"/>
        <w:numPr>
          <w:ilvl w:val="255"/>
          <w:numId w:val="0"/>
        </w:numPr>
        <w:snapToGrid w:val="0"/>
        <w:spacing w:before="156" w:beforeLines="50" w:line="360" w:lineRule="auto"/>
        <w:ind w:right="-87" w:firstLine="482" w:firstLineChars="200"/>
      </w:pPr>
      <w:r>
        <w:rPr>
          <w:rFonts w:hint="eastAsia"/>
        </w:rPr>
        <w:t>第十</w:t>
      </w:r>
      <w:r>
        <w:rPr>
          <w:rFonts w:hint="eastAsia"/>
          <w:lang w:eastAsia="zh-Hans"/>
        </w:rPr>
        <w:t>一</w:t>
      </w:r>
      <w:r>
        <w:rPr>
          <w:rFonts w:hint="eastAsia"/>
        </w:rPr>
        <w:t>条</w:t>
      </w:r>
      <w:r>
        <w:t xml:space="preserve">  </w:t>
      </w:r>
      <w:r>
        <w:rPr>
          <w:rFonts w:hint="eastAsia"/>
        </w:rPr>
        <w:t>违约责任</w:t>
      </w:r>
    </w:p>
    <w:p>
      <w:pPr>
        <w:snapToGrid w:val="0"/>
        <w:spacing w:before="156" w:beforeLines="50" w:line="360" w:lineRule="auto"/>
        <w:ind w:firstLine="480" w:firstLineChars="200"/>
        <w:rPr>
          <w:rFonts w:ascii="仿宋" w:hAnsi="仿宋" w:cs="仿宋"/>
        </w:rPr>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snapToGrid w:val="0"/>
        <w:spacing w:before="156" w:beforeLines="50" w:line="360" w:lineRule="auto"/>
        <w:ind w:firstLine="482" w:firstLineChars="200"/>
        <w:rPr>
          <w:rFonts w:ascii="仿宋" w:hAnsi="仿宋" w:cs="仿宋"/>
          <w:b/>
        </w:rPr>
      </w:pPr>
      <w:r>
        <w:rPr>
          <w:rFonts w:ascii="仿宋" w:hAnsi="仿宋" w:cs="仿宋"/>
          <w:b/>
        </w:rPr>
        <w:t xml:space="preserve">11.2 </w:t>
      </w:r>
      <w:r>
        <w:rPr>
          <w:rFonts w:hint="eastAsia" w:ascii="仿宋" w:hAnsi="仿宋" w:cs="仿宋"/>
          <w:b/>
        </w:rPr>
        <w:t>甲方的违约责任</w:t>
      </w:r>
      <w:bookmarkStart w:id="38" w:name="_Ref119872296"/>
    </w:p>
    <w:bookmarkEnd w:id="38"/>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w:t>
      </w:r>
      <w:r>
        <w:rPr>
          <w:rFonts w:hint="eastAsia" w:ascii="仿宋" w:hAnsi="仿宋" w:cs="仿宋"/>
          <w:color w:val="000000"/>
          <w:lang w:val="en-US" w:eastAsia="zh-CN"/>
        </w:rPr>
        <w:t>20</w:t>
      </w:r>
      <w:r>
        <w:rPr>
          <w:rFonts w:hint="eastAsia" w:ascii="仿宋" w:hAnsi="仿宋" w:cs="仿宋"/>
          <w:color w:val="000000"/>
        </w:rPr>
        <w:t>%。</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11.3 </w:t>
      </w:r>
      <w:r>
        <w:rPr>
          <w:rFonts w:hint="eastAsia" w:ascii="仿宋" w:hAnsi="仿宋" w:cs="仿宋"/>
          <w:b/>
        </w:rPr>
        <w:t>乙方的违约责任</w:t>
      </w:r>
      <w:bookmarkStart w:id="39" w:name="_Ref118455973"/>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乙方违反付款义务，未能按时足额支付转让价款、履约保证金等任一应付款项，</w:t>
      </w:r>
      <w:r>
        <w:rPr>
          <w:rFonts w:hint="eastAsia" w:ascii="仿宋" w:hAnsi="仿宋"/>
        </w:rPr>
        <w:t>甲方有权选择单独或同时行使下列一项或多项权利：</w:t>
      </w:r>
    </w:p>
    <w:p>
      <w:pPr>
        <w:spacing w:before="156" w:beforeLines="50" w:line="360" w:lineRule="auto"/>
        <w:ind w:firstLine="480" w:firstLineChars="200"/>
        <w:rPr>
          <w:rFonts w:ascii="仿宋" w:hAnsi="仿宋"/>
        </w:rPr>
      </w:pPr>
      <w:bookmarkStart w:id="40" w:name="_Hlk137914063"/>
      <w:r>
        <w:rPr>
          <w:rFonts w:hint="eastAsia" w:ascii="仿宋" w:hAnsi="仿宋"/>
        </w:rPr>
        <w:t>（</w:t>
      </w:r>
      <w:r>
        <w:rPr>
          <w:rFonts w:ascii="仿宋" w:hAnsi="仿宋"/>
        </w:rPr>
        <w:t>1</w:t>
      </w:r>
      <w:r>
        <w:rPr>
          <w:rFonts w:hint="eastAsia" w:ascii="仿宋" w:hAnsi="仿宋"/>
        </w:rPr>
        <w:t>）没收乙方已缴纳的投标/竞价保证金或履约保证金。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2</w:t>
      </w:r>
      <w:r>
        <w:rPr>
          <w:rFonts w:hint="eastAsia" w:ascii="仿宋" w:hAnsi="仿宋"/>
        </w:rPr>
        <w:t>）对于逾期款项，每逾期一日，要求乙方就应付未付价款按每日万分    之  向甲方支付违约金。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bookmarkStart w:id="41" w:name="_Hlk137454382"/>
      <w:r>
        <w:rPr>
          <w:rFonts w:hint="eastAsia" w:ascii="仿宋" w:hAnsi="仿宋"/>
        </w:rPr>
        <w:t>投标/竞价保证金或</w:t>
      </w:r>
      <w:bookmarkEnd w:id="41"/>
      <w:r>
        <w:rPr>
          <w:rFonts w:hint="eastAsia" w:ascii="仿宋" w:hAnsi="仿宋"/>
        </w:rPr>
        <w:t>履约保证金，并按本条约定标准主张逾期付款违约金（从本协议约定最晚付款日次日起计至全部转让价款等应付款项实际支付之日）。</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解除本协议，扣收投标/竞价保证金或履约保证金，并要求买受人支付违约金（从本协议约定最晚付款日次日起计至再处置之日，再处置之日是指</w:t>
      </w:r>
      <w:r>
        <w:rPr>
          <w:rFonts w:hint="eastAsia" w:ascii="仿宋" w:hAnsi="仿宋"/>
          <w:lang w:val="en-US" w:eastAsia="zh-CN"/>
        </w:rPr>
        <w:t>债权交割</w:t>
      </w:r>
      <w:r>
        <w:rPr>
          <w:rFonts w:ascii="仿宋" w:hAnsi="仿宋"/>
        </w:rPr>
        <w:t>之日</w:t>
      </w:r>
      <w:r>
        <w:rPr>
          <w:rFonts w:hint="eastAsia" w:ascii="仿宋" w:hAnsi="仿宋"/>
        </w:rPr>
        <w:t>）。若投标/竞价保证金或</w:t>
      </w:r>
      <w:r>
        <w:rPr>
          <w:rFonts w:hint="eastAsia" w:ascii="仿宋" w:hAnsi="仿宋"/>
          <w:color w:val="000000"/>
        </w:rPr>
        <w:t>履约保证金、违约金不足以弥补甲方损失的，乙方仍应承担损失赔偿责任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rPr>
        <w:t>为避免歧义，甲方要求解除本协议或继续履行本协议的，有权同时要求乙方按照本条约定支付违约金、赔偿金、没收投标/竞价保证金或履约保证金。</w:t>
      </w:r>
      <w:r>
        <w:rPr>
          <w:rFonts w:hint="eastAsia" w:ascii="仿宋" w:hAnsi="仿宋" w:cs="仿宋"/>
        </w:rPr>
        <w:t>如甲方行使前述权利之后仍不足以弥补其所遭受的损失的，仍有权要求乙方承担损害赔偿责任。</w:t>
      </w:r>
    </w:p>
    <w:bookmarkEnd w:id="40"/>
    <w:p>
      <w:pPr>
        <w:snapToGrid w:val="0"/>
        <w:spacing w:before="156" w:beforeLines="50" w:line="360" w:lineRule="auto"/>
        <w:ind w:firstLine="480" w:firstLineChars="200"/>
        <w:rPr>
          <w:rFonts w:ascii="仿宋" w:hAnsi="仿宋" w:cs="仿宋"/>
          <w:color w:val="000000"/>
        </w:rPr>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42" w:name="_Hlk118459308"/>
      <w:bookmarkStart w:id="43"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42"/>
    </w:p>
    <w:p>
      <w:pPr>
        <w:tabs>
          <w:tab w:val="left" w:pos="1260"/>
        </w:tabs>
        <w:snapToGrid w:val="0"/>
        <w:spacing w:before="156" w:beforeLines="50" w:line="360" w:lineRule="auto"/>
        <w:ind w:right="-87" w:firstLine="480" w:firstLineChars="200"/>
        <w:rPr>
          <w:rFonts w:ascii="仿宋" w:hAnsi="仿宋" w:cs="仿宋"/>
          <w:lang w:bidi="ar"/>
        </w:rPr>
      </w:pPr>
      <w:r>
        <w:rPr>
          <w:rFonts w:hint="eastAsia" w:ascii="仿宋" w:hAnsi="仿宋" w:cs="仿宋"/>
          <w:color w:val="000000"/>
          <w:lang w:bidi="ar"/>
        </w:rPr>
        <w:t>（1）</w:t>
      </w:r>
      <w:r>
        <w:rPr>
          <w:rFonts w:hint="eastAsia" w:ascii="仿宋" w:hAnsi="仿宋"/>
        </w:rPr>
        <w:t>没收乙方已缴纳的投标/竞价保证金或履约保证金</w:t>
      </w:r>
      <w:r>
        <w:rPr>
          <w:rFonts w:hint="eastAsia" w:ascii="仿宋" w:hAnsi="仿宋" w:cs="仿宋"/>
          <w:lang w:bidi="ar"/>
        </w:rPr>
        <w:t>。</w:t>
      </w:r>
    </w:p>
    <w:p>
      <w:pPr>
        <w:tabs>
          <w:tab w:val="left" w:pos="1260"/>
        </w:tabs>
        <w:snapToGrid w:val="0"/>
        <w:spacing w:before="156" w:beforeLines="50" w:line="360" w:lineRule="auto"/>
        <w:ind w:right="-87" w:firstLine="480" w:firstLineChars="200"/>
        <w:rPr>
          <w:rFonts w:ascii="仿宋" w:hAnsi="仿宋" w:cs="仿宋"/>
          <w:color w:val="000000"/>
          <w:lang w:bidi="ar"/>
        </w:rPr>
      </w:pPr>
      <w:r>
        <w:rPr>
          <w:rFonts w:hint="eastAsia" w:ascii="仿宋" w:hAnsi="仿宋" w:cs="仿宋"/>
          <w:lang w:bidi="ar"/>
        </w:rPr>
        <w:t>（2）</w:t>
      </w:r>
      <w:r>
        <w:rPr>
          <w:rFonts w:hint="eastAsia" w:ascii="仿宋" w:hAnsi="仿宋" w:cs="仿宋"/>
          <w:color w:val="000000"/>
          <w:lang w:bidi="ar"/>
        </w:rPr>
        <w:t>甲方有权要求乙方按照转让价款总额的万分之</w:t>
      </w:r>
      <w:r>
        <w:rPr>
          <w:rFonts w:hint="eastAsia" w:ascii="仿宋" w:hAnsi="仿宋" w:cs="仿宋"/>
          <w:color w:val="000000"/>
          <w:lang w:val="en-US" w:eastAsia="zh-CN" w:bidi="ar"/>
        </w:rPr>
        <w:t>五</w:t>
      </w:r>
      <w:r>
        <w:rPr>
          <w:rFonts w:hint="eastAsia" w:ascii="仿宋" w:hAnsi="仿宋" w:cs="仿宋"/>
          <w:color w:val="000000"/>
          <w:lang w:bidi="ar"/>
        </w:rPr>
        <w:t>支付违约金。</w:t>
      </w:r>
    </w:p>
    <w:p>
      <w:pPr>
        <w:tabs>
          <w:tab w:val="left" w:pos="1260"/>
        </w:tabs>
        <w:snapToGrid w:val="0"/>
        <w:spacing w:before="156" w:beforeLines="50" w:line="360" w:lineRule="auto"/>
        <w:ind w:right="-87" w:firstLine="480" w:firstLineChars="200"/>
        <w:rPr>
          <w:rFonts w:ascii="仿宋" w:hAnsi="仿宋"/>
        </w:rPr>
      </w:pPr>
      <w:r>
        <w:rPr>
          <w:rFonts w:hint="eastAsia" w:ascii="仿宋" w:hAnsi="仿宋" w:cs="仿宋"/>
          <w:color w:val="000000"/>
          <w:lang w:bidi="ar"/>
        </w:rPr>
        <w:t>（3）</w:t>
      </w:r>
      <w:bookmarkStart w:id="44"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、扣收投标/竞价保证金或履约保证金，并按本条约定标准主张违约金。</w:t>
      </w:r>
    </w:p>
    <w:bookmarkEnd w:id="44"/>
    <w:p>
      <w:pPr>
        <w:spacing w:before="156" w:beforeLines="50" w:line="360" w:lineRule="auto"/>
        <w:ind w:firstLine="480" w:firstLineChars="200"/>
        <w:rPr>
          <w:rFonts w:ascii="仿宋" w:hAnsi="仿宋" w:cs="仿宋"/>
        </w:rPr>
      </w:pPr>
      <w:r>
        <w:rPr>
          <w:rFonts w:hint="eastAsia" w:ascii="仿宋" w:hAnsi="仿宋" w:cs="仿宋"/>
        </w:rPr>
        <w:t>（4）甲方有权自知道或应当知道前述情形之日起三年内向乙方发出解除本协议通知，单方</w:t>
      </w:r>
      <w:r>
        <w:rPr>
          <w:rFonts w:hint="eastAsia" w:ascii="仿宋" w:hAnsi="仿宋"/>
        </w:rPr>
        <w:t>解除本协议，扣收投标/竞价保证金或履约保证金，并要求买受人支付违约金。若投标/竞价保证金或</w:t>
      </w:r>
      <w:r>
        <w:rPr>
          <w:rFonts w:hint="eastAsia" w:ascii="仿宋" w:hAnsi="仿宋"/>
          <w:color w:val="000000"/>
        </w:rPr>
        <w:t>履约保证金、违约金不足以弥补委托人损失的，乙方仍应承担损失赔偿责任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rPr>
        <w:t>方</w:t>
      </w:r>
      <w:r>
        <w:rPr>
          <w:rFonts w:ascii="仿宋" w:hAnsi="仿宋" w:cs="仿宋"/>
        </w:rPr>
        <w:t>应付未付款项的，</w:t>
      </w:r>
      <w:r>
        <w:rPr>
          <w:rFonts w:hint="eastAsia" w:ascii="仿宋" w:hAnsi="仿宋" w:cs="仿宋"/>
        </w:rPr>
        <w:t>甲方</w:t>
      </w:r>
      <w:r>
        <w:rPr>
          <w:rFonts w:ascii="仿宋" w:hAnsi="仿宋" w:cs="仿宋"/>
        </w:rPr>
        <w:t>有权继续向</w:t>
      </w:r>
      <w:r>
        <w:rPr>
          <w:rFonts w:hint="eastAsia" w:ascii="仿宋" w:hAnsi="仿宋" w:cs="仿宋"/>
        </w:rPr>
        <w:t>乙方</w:t>
      </w:r>
      <w:r>
        <w:rPr>
          <w:rFonts w:ascii="仿宋" w:hAnsi="仿宋" w:cs="仿宋"/>
        </w:rPr>
        <w:t>追索差额部分</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为避免歧义，甲方要求解除本协议或继续履行本协议的，有权同时要求乙方按照本条约定支付违约金、赔偿金、没收投标</w:t>
      </w:r>
      <w:r>
        <w:rPr>
          <w:rFonts w:ascii="仿宋" w:hAnsi="仿宋" w:cs="仿宋"/>
          <w:color w:val="000000"/>
        </w:rPr>
        <w:t>/竞价保证金或履约保证金。</w:t>
      </w:r>
      <w:bookmarkEnd w:id="43"/>
      <w:r>
        <w:rPr>
          <w:rFonts w:hint="eastAsia" w:ascii="仿宋" w:hAnsi="仿宋" w:cs="仿宋"/>
        </w:rPr>
        <w:t>如甲方行使前述权利之后仍不足以弥补其所遭受的损失的，仍有权要求乙方承担损害赔偿责任。</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11.3.4 </w:t>
      </w:r>
      <w:r>
        <w:rPr>
          <w:rFonts w:hint="eastAsia" w:ascii="仿宋" w:hAnsi="仿宋" w:cs="仿宋"/>
          <w:color w:val="000000"/>
        </w:rPr>
        <w:t xml:space="preserve">无论甲方是否就乙方已发生的违约情形作出选择及作出何种选择，均不意味着甲方放弃上述各种权利的选择权，甲方有权在乙方再次发生本协议约定的任一违约情形或者乙方违约情形超过 </w:t>
      </w:r>
      <w:r>
        <w:rPr>
          <w:rFonts w:ascii="仿宋" w:hAnsi="仿宋" w:cs="仿宋"/>
          <w:color w:val="000000"/>
        </w:rPr>
        <w:t xml:space="preserve">  </w:t>
      </w:r>
      <w:r>
        <w:rPr>
          <w:rFonts w:hint="eastAsia" w:ascii="仿宋" w:hAnsi="仿宋" w:cs="仿宋"/>
          <w:color w:val="000000"/>
        </w:rPr>
        <w:t>种时，重新进行选择，均不视为其对任何权利的放弃或豁免。</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11.4</w:t>
      </w:r>
      <w:bookmarkStart w:id="45" w:name="_Hlk118460335"/>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诉讼费、仲裁费、公证费、律师费、财产保全费、保险费、公告费、送达费、执行费、拍卖费、鉴定费、评估费、资产处置费、催收费用、保管费、通讯费、差旅费、过户费、税费及其他政府性收费等</w:t>
      </w:r>
      <w:bookmarkEnd w:id="45"/>
      <w:r>
        <w:rPr>
          <w:rFonts w:ascii="仿宋" w:hAnsi="仿宋" w:cs="仿宋"/>
        </w:rPr>
        <w:t>。</w:t>
      </w:r>
    </w:p>
    <w:bookmarkEnd w:id="39"/>
    <w:p>
      <w:pPr>
        <w:pStyle w:val="3"/>
        <w:numPr>
          <w:ilvl w:val="255"/>
          <w:numId w:val="0"/>
        </w:numPr>
        <w:snapToGrid w:val="0"/>
        <w:spacing w:before="156" w:beforeLines="50" w:line="360" w:lineRule="auto"/>
        <w:ind w:right="-87" w:firstLine="482" w:firstLineChars="200"/>
        <w:rPr>
          <w:rFonts w:ascii="仿宋" w:hAnsi="仿宋" w:cs="仿宋"/>
          <w:b w:val="0"/>
        </w:rPr>
      </w:pPr>
      <w:r>
        <w:rPr>
          <w:rFonts w:hint="eastAsia"/>
        </w:rPr>
        <w:t>第十二条</w:t>
      </w:r>
      <w:r>
        <w:t xml:space="preserve">  </w:t>
      </w:r>
      <w:r>
        <w:rPr>
          <w:rFonts w:hint="eastAsia"/>
        </w:rPr>
        <w:t>不可抗力</w:t>
      </w:r>
    </w:p>
    <w:p>
      <w:pPr>
        <w:snapToGrid w:val="0"/>
        <w:spacing w:before="156" w:beforeLines="50" w:line="360" w:lineRule="auto"/>
        <w:ind w:firstLine="480" w:firstLineChars="200"/>
        <w:rPr>
          <w:rFonts w:ascii="仿宋" w:hAnsi="仿宋" w:cs="仿宋"/>
        </w:rPr>
      </w:pPr>
      <w:r>
        <w:rPr>
          <w:rFonts w:ascii="仿宋" w:hAnsi="仿宋" w:cs="仿宋"/>
        </w:rPr>
        <w:t>12.1</w:t>
      </w:r>
      <w:bookmarkStart w:id="46" w:name="_Hlk116273220"/>
      <w:r>
        <w:rPr>
          <w:rFonts w:ascii="仿宋" w:hAnsi="仿宋" w:cs="仿宋"/>
        </w:rPr>
        <w:t xml:space="preserve"> </w:t>
      </w:r>
      <w:r>
        <w:rPr>
          <w:rFonts w:ascii="仿宋" w:hAnsi="仿宋"/>
        </w:rPr>
        <w:t>本</w:t>
      </w:r>
      <w:bookmarkStart w:id="47"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46"/>
      <w:bookmarkEnd w:id="47"/>
      <w:r>
        <w:rPr>
          <w:rFonts w:ascii="仿宋" w:hAnsi="仿宋" w:cs="仿宋"/>
        </w:rPr>
        <w:t xml:space="preserve"> </w:t>
      </w:r>
    </w:p>
    <w:p>
      <w:pPr>
        <w:snapToGrid w:val="0"/>
        <w:spacing w:before="156" w:beforeLines="50" w:line="360" w:lineRule="auto"/>
        <w:ind w:firstLine="480" w:firstLineChars="200"/>
        <w:rPr>
          <w:rFonts w:ascii="仿宋" w:hAnsi="仿宋" w:cs="仿宋"/>
        </w:rPr>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snapToGrid w:val="0"/>
        <w:spacing w:before="156" w:beforeLines="50" w:line="360" w:lineRule="auto"/>
        <w:ind w:firstLine="480" w:firstLineChars="200"/>
        <w:rPr>
          <w:rFonts w:ascii="仿宋" w:hAnsi="仿宋" w:cs="仿宋"/>
        </w:rPr>
      </w:pPr>
      <w:r>
        <w:rPr>
          <w:rFonts w:ascii="仿宋" w:hAnsi="仿宋" w:cs="仿宋"/>
        </w:rPr>
        <w:t xml:space="preserve">12.3 </w:t>
      </w:r>
      <w:r>
        <w:rPr>
          <w:rFonts w:hint="eastAsia" w:ascii="仿宋" w:hAnsi="仿宋" w:cs="仿宋"/>
        </w:rPr>
        <w:t>遭遇不可抗力的一方应在发生不可抗力事件后的</w:t>
      </w:r>
      <w:r>
        <w:rPr>
          <w:rFonts w:ascii="仿宋" w:hAnsi="仿宋" w:cs="仿宋"/>
        </w:rPr>
        <w:t xml:space="preserve">  </w:t>
      </w:r>
      <w:r>
        <w:rPr>
          <w:rFonts w:hint="eastAsia" w:ascii="仿宋" w:hAnsi="仿宋" w:cs="仿宋"/>
        </w:rPr>
        <w:t>日内书面通知对方，并向对方提供发生不可抗力和其持续期的适当证明，并应尽其最大努力终止不可抗力事件或减少其影响。</w:t>
      </w:r>
    </w:p>
    <w:p>
      <w:pPr>
        <w:snapToGrid w:val="0"/>
        <w:spacing w:before="156" w:beforeLines="50" w:line="360" w:lineRule="auto"/>
        <w:ind w:firstLine="480" w:firstLineChars="200"/>
        <w:rPr>
          <w:rFonts w:ascii="仿宋" w:hAnsi="仿宋" w:cs="仿宋"/>
        </w:rPr>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pStyle w:val="3"/>
        <w:numPr>
          <w:ilvl w:val="255"/>
          <w:numId w:val="0"/>
        </w:numPr>
        <w:snapToGrid w:val="0"/>
        <w:spacing w:before="156" w:beforeLines="50" w:line="360" w:lineRule="auto"/>
        <w:ind w:right="-87" w:firstLine="482" w:firstLineChars="200"/>
        <w:rPr>
          <w:lang w:eastAsia="zh-Hans"/>
        </w:rPr>
      </w:pPr>
      <w:r>
        <w:rPr>
          <w:rFonts w:hint="eastAsia"/>
        </w:rPr>
        <w:t>第十三条</w:t>
      </w:r>
      <w:r>
        <w:t xml:space="preserve">  </w:t>
      </w:r>
      <w:r>
        <w:rPr>
          <w:rFonts w:hint="eastAsia"/>
          <w:lang w:eastAsia="zh-Hans"/>
        </w:rPr>
        <w:t>争议解决和法律适用</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13.1 </w:t>
      </w:r>
      <w:r>
        <w:rPr>
          <w:rFonts w:hint="eastAsia" w:ascii="仿宋" w:hAnsi="仿宋" w:cs="仿宋"/>
          <w:b/>
          <w:color w:val="000000"/>
        </w:rPr>
        <w:t>争议解决方式</w:t>
      </w:r>
    </w:p>
    <w:p>
      <w:pPr>
        <w:tabs>
          <w:tab w:val="left" w:pos="1260"/>
        </w:tabs>
        <w:snapToGrid w:val="0"/>
        <w:spacing w:before="156" w:beforeLines="50" w:line="360" w:lineRule="auto"/>
        <w:ind w:right="-87" w:firstLine="480" w:firstLineChars="200"/>
        <w:rPr>
          <w:rFonts w:ascii="仿宋" w:hAnsi="仿宋" w:cs="仿宋"/>
          <w:bCs/>
          <w:color w:val="000000"/>
        </w:rPr>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.1.1种争议解决方式：</w:t>
      </w:r>
    </w:p>
    <w:p>
      <w:pPr>
        <w:tabs>
          <w:tab w:val="left" w:pos="1260"/>
        </w:tabs>
        <w:snapToGrid w:val="0"/>
        <w:spacing w:before="156" w:beforeLines="50" w:line="360" w:lineRule="auto"/>
        <w:ind w:right="-87"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向甲方住所地有管辖权的人民法院提起诉讼。</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13.2 法律适用</w:t>
      </w:r>
    </w:p>
    <w:p>
      <w:pPr>
        <w:snapToGrid w:val="0"/>
        <w:spacing w:before="156" w:beforeLines="50" w:line="360" w:lineRule="auto"/>
        <w:ind w:firstLine="480" w:firstLineChars="200"/>
        <w:rPr>
          <w:rFonts w:ascii="仿宋" w:hAnsi="仿宋" w:cs="仿宋"/>
        </w:rPr>
      </w:pPr>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p>
    <w:p>
      <w:pPr>
        <w:pStyle w:val="3"/>
        <w:numPr>
          <w:ilvl w:val="255"/>
          <w:numId w:val="0"/>
        </w:numPr>
        <w:snapToGrid w:val="0"/>
        <w:spacing w:before="156" w:beforeLines="50" w:line="360" w:lineRule="auto"/>
        <w:ind w:right="-87" w:firstLine="482" w:firstLineChars="200"/>
      </w:pPr>
      <w:r>
        <w:rPr>
          <w:rFonts w:hint="eastAsia"/>
        </w:rPr>
        <w:t>第十四条</w:t>
      </w:r>
      <w:r>
        <w:t xml:space="preserve">  </w:t>
      </w:r>
      <w:r>
        <w:rPr>
          <w:rFonts w:hint="eastAsia"/>
        </w:rPr>
        <w:t>通知与送达</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14.1 本协议</w:t>
      </w:r>
      <w:r>
        <w:rPr>
          <w:rFonts w:hint="eastAsia" w:ascii="仿宋" w:hAnsi="仿宋" w:cs="仿宋"/>
          <w:bCs/>
          <w:lang w:eastAsia="zh-Hans"/>
        </w:rPr>
        <w:t>双方</w:t>
      </w:r>
      <w:r>
        <w:rPr>
          <w:rFonts w:hint="eastAsia" w:ascii="仿宋" w:hAnsi="仿宋" w:cs="仿宋"/>
          <w:bCs/>
        </w:rPr>
        <w:t>确认其有效的送达地址为：</w:t>
      </w:r>
    </w:p>
    <w:p>
      <w:pPr>
        <w:tabs>
          <w:tab w:val="left" w:pos="1260"/>
        </w:tabs>
        <w:snapToGrid w:val="0"/>
        <w:spacing w:before="156" w:beforeLines="50" w:line="360" w:lineRule="auto"/>
        <w:ind w:right="-87" w:firstLine="482" w:firstLineChars="200"/>
        <w:rPr>
          <w:rFonts w:ascii="仿宋" w:hAnsi="仿宋" w:cs="仿宋"/>
          <w:b/>
        </w:rPr>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w:t>
      </w:r>
      <w:r>
        <w:rPr>
          <w:rFonts w:hint="eastAsia" w:ascii="仿宋" w:hAnsi="仿宋" w:cs="仿宋"/>
          <w:b/>
          <w:lang w:val="en-US" w:eastAsia="zh-CN"/>
        </w:rPr>
        <w:t>海南省</w:t>
      </w:r>
      <w:r>
        <w:rPr>
          <w:rFonts w:hint="eastAsia" w:ascii="仿宋" w:hAnsi="仿宋" w:cs="仿宋"/>
          <w:b/>
        </w:rPr>
        <w:t>分公司</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w:t>
      </w:r>
      <w:r>
        <w:rPr>
          <w:rFonts w:ascii="仿宋" w:hAnsi="仿宋" w:cs="仿宋"/>
          <w:bCs/>
        </w:rPr>
        <w:t xml:space="preserve">    </w:t>
      </w:r>
      <w:r>
        <w:rPr>
          <w:rFonts w:hint="eastAsia" w:ascii="仿宋" w:hAnsi="仿宋" w:cs="仿宋"/>
          <w:bCs/>
        </w:rPr>
        <w:t>话：</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right="-87" w:firstLine="480" w:firstLineChars="200"/>
        <w:rPr>
          <w:rFonts w:ascii="仿宋" w:hAnsi="仿宋" w:cs="仿宋"/>
          <w:bCs/>
        </w:rPr>
      </w:pPr>
    </w:p>
    <w:p>
      <w:pPr>
        <w:tabs>
          <w:tab w:val="left" w:pos="1260"/>
        </w:tabs>
        <w:snapToGrid w:val="0"/>
        <w:spacing w:before="156" w:beforeLines="50" w:line="360" w:lineRule="auto"/>
        <w:ind w:right="-87" w:firstLine="482" w:firstLineChars="200"/>
        <w:rPr>
          <w:rFonts w:ascii="仿宋" w:hAnsi="仿宋" w:cs="仿宋"/>
          <w:b/>
        </w:rPr>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w:t>
      </w:r>
      <w:r>
        <w:rPr>
          <w:rFonts w:ascii="仿宋" w:hAnsi="仿宋" w:cs="仿宋"/>
          <w:bCs/>
        </w:rPr>
        <w:t xml:space="preserve">    话：             </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14.2 乙方向甲方发出各类通知、协议等文件，或者因为涉及</w:t>
      </w:r>
      <w:r>
        <w:rPr>
          <w:rFonts w:hint="eastAsia" w:ascii="仿宋" w:hAnsi="仿宋" w:cs="仿宋"/>
          <w:bCs/>
        </w:rPr>
        <w:t>公证、仲裁、诉讼</w:t>
      </w:r>
      <w:r>
        <w:rPr>
          <w:rFonts w:ascii="仿宋" w:hAnsi="仿宋" w:cs="仿宋"/>
          <w:bCs/>
        </w:rPr>
        <w:t>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甲方向乙方发出各类通知、协议等文件，或者因为涉及公证、仲裁、诉讼而由公证机构</w:t>
      </w:r>
      <w:r>
        <w:rPr>
          <w:rFonts w:ascii="仿宋" w:hAnsi="仿宋" w:cs="仿宋"/>
          <w:bCs/>
        </w:rPr>
        <w:t>、仲裁机构</w:t>
      </w:r>
      <w:r>
        <w:rPr>
          <w:rFonts w:hint="eastAsia" w:ascii="仿宋" w:hAnsi="仿宋" w:cs="仿宋"/>
          <w:bCs/>
        </w:rPr>
        <w:t>、</w:t>
      </w:r>
      <w:r>
        <w:rPr>
          <w:rFonts w:ascii="仿宋" w:hAnsi="仿宋" w:cs="仿宋"/>
          <w:bCs/>
        </w:rPr>
        <w:t>法院</w:t>
      </w:r>
      <w:r>
        <w:rPr>
          <w:rFonts w:hint="eastAsia" w:ascii="仿宋" w:hAnsi="仿宋" w:cs="仿宋"/>
          <w:bCs/>
        </w:rPr>
        <w:t>向乙方进行送达时，可以选择邮寄送达、直接送达方式，或者传真、电子邮件、手机短信等电子送达中的任一种送达方式。</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1）一方提供或者确认的送达地址不准确；</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w:t>
      </w:r>
      <w:r>
        <w:rPr>
          <w:rFonts w:hint="eastAsia" w:ascii="仿宋" w:hAnsi="仿宋" w:cs="仿宋"/>
          <w:bCs/>
        </w:rPr>
        <w:t>、</w:t>
      </w:r>
      <w:r>
        <w:rPr>
          <w:rFonts w:ascii="仿宋" w:hAnsi="仿宋" w:cs="仿宋"/>
          <w:bCs/>
        </w:rPr>
        <w:t>法院；</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3）一方或其指定的接收人拒绝签收；</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4）其他不属于协议其他方的原因。</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本条所列上述情形，按照以下方式确定送达之日：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1）通过EMS特快专递方式邮寄的，以中国邮政官网查询单号显示的签收/拒收/被退回之日为送达之日；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snapToGrid w:val="0"/>
        <w:spacing w:before="156" w:beforeLines="50" w:line="360" w:lineRule="auto"/>
        <w:ind w:firstLine="480" w:firstLineChars="200"/>
        <w:rPr>
          <w:rFonts w:ascii="仿宋" w:hAnsi="仿宋" w:cs="仿宋"/>
        </w:rPr>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p>
      <w:pPr>
        <w:pStyle w:val="3"/>
        <w:numPr>
          <w:ilvl w:val="255"/>
          <w:numId w:val="0"/>
        </w:numPr>
        <w:snapToGrid w:val="0"/>
        <w:spacing w:before="156" w:beforeLines="50" w:line="360" w:lineRule="auto"/>
        <w:ind w:right="-87" w:firstLine="482" w:firstLineChars="200"/>
      </w:pPr>
      <w:r>
        <w:rPr>
          <w:rFonts w:hint="eastAsia"/>
        </w:rPr>
        <w:t>第十五条</w:t>
      </w:r>
      <w:r>
        <w:t xml:space="preserve">  </w:t>
      </w:r>
      <w:r>
        <w:rPr>
          <w:rFonts w:hint="eastAsia"/>
        </w:rPr>
        <w:t>附则</w:t>
      </w:r>
    </w:p>
    <w:p>
      <w:pPr>
        <w:snapToGrid w:val="0"/>
        <w:spacing w:before="156" w:beforeLines="50" w:line="360" w:lineRule="auto"/>
        <w:ind w:firstLine="480" w:firstLineChars="200"/>
        <w:rPr>
          <w:rFonts w:ascii="仿宋" w:hAnsi="仿宋" w:cs="仿宋"/>
        </w:rPr>
      </w:pPr>
      <w:r>
        <w:rPr>
          <w:rFonts w:ascii="仿宋" w:hAnsi="仿宋" w:cs="仿宋"/>
        </w:rPr>
        <w:t xml:space="preserve">15.1 </w:t>
      </w:r>
      <w:r>
        <w:rPr>
          <w:rFonts w:hint="eastAsia" w:ascii="仿宋" w:hAnsi="仿宋" w:cs="仿宋"/>
        </w:rPr>
        <w:t>本协议签署前形成的任何文件如与本协议相冲突，以本协议为准。</w:t>
      </w:r>
    </w:p>
    <w:p>
      <w:pPr>
        <w:snapToGrid w:val="0"/>
        <w:spacing w:before="156" w:beforeLines="50" w:line="360" w:lineRule="auto"/>
        <w:ind w:firstLine="480" w:firstLineChars="200"/>
        <w:rPr>
          <w:rFonts w:ascii="仿宋" w:hAnsi="仿宋" w:cs="仿宋"/>
        </w:rPr>
      </w:pPr>
      <w:r>
        <w:rPr>
          <w:rFonts w:ascii="仿宋" w:hAnsi="仿宋" w:cs="仿宋"/>
        </w:rPr>
        <w:t xml:space="preserve">15.2 </w:t>
      </w:r>
      <w:r>
        <w:rPr>
          <w:rFonts w:hint="eastAsia" w:ascii="仿宋" w:hAnsi="仿宋" w:cs="仿宋"/>
        </w:rPr>
        <w:t>附件为本协议不可分割的组成部分，与本协议具有同等效力。</w:t>
      </w:r>
    </w:p>
    <w:p>
      <w:pPr>
        <w:snapToGrid w:val="0"/>
        <w:spacing w:before="156" w:beforeLines="50" w:line="360" w:lineRule="auto"/>
        <w:ind w:firstLine="480" w:firstLineChars="200"/>
        <w:rPr>
          <w:rFonts w:ascii="仿宋" w:hAnsi="仿宋" w:cs="仿宋"/>
        </w:rPr>
      </w:pPr>
      <w:r>
        <w:rPr>
          <w:rFonts w:ascii="仿宋" w:hAnsi="仿宋" w:cs="仿宋"/>
        </w:rPr>
        <w:t xml:space="preserve">15.3 </w:t>
      </w:r>
      <w:bookmarkStart w:id="48" w:name="_Hlk113970754"/>
      <w:bookmarkStart w:id="49" w:name="_Hlk113973099"/>
      <w:r>
        <w:rPr>
          <w:rFonts w:hint="eastAsia" w:ascii="仿宋" w:hAnsi="仿宋" w:cs="仿宋"/>
        </w:rPr>
        <w:t>本协议双方均确认其充分知晓并理解本协议中全部条款的实质含义及其相应的法律后果，并基于此种理解，签署本协议。</w:t>
      </w:r>
    </w:p>
    <w:p>
      <w:pPr>
        <w:spacing w:before="156" w:beforeLines="50" w:line="360" w:lineRule="auto"/>
        <w:ind w:firstLine="426"/>
        <w:rPr>
          <w:rFonts w:ascii="仿宋" w:hAnsi="仿宋" w:cs="仿宋"/>
        </w:rPr>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spacing w:before="156" w:beforeLines="50" w:line="360" w:lineRule="auto"/>
        <w:ind w:firstLine="426"/>
        <w:rPr>
          <w:rFonts w:ascii="仿宋" w:hAnsi="仿宋" w:cs="仿宋"/>
        </w:rPr>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spacing w:before="156" w:beforeLines="50" w:line="360" w:lineRule="auto"/>
        <w:ind w:firstLine="424" w:firstLineChars="177"/>
        <w:rPr>
          <w:rFonts w:ascii="仿宋" w:hAnsi="仿宋" w:cs="仿宋"/>
        </w:rPr>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bookmarkEnd w:id="48"/>
    </w:p>
    <w:bookmarkEnd w:id="49"/>
    <w:p>
      <w:pPr>
        <w:spacing w:before="156" w:beforeLines="50" w:line="360" w:lineRule="auto"/>
        <w:ind w:firstLine="480" w:firstLineChars="200"/>
        <w:rPr>
          <w:rFonts w:ascii="仿宋" w:hAnsi="仿宋" w:cs="仿宋"/>
          <w:bCs/>
        </w:rPr>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snapToGrid w:val="0"/>
        <w:spacing w:before="156" w:beforeLines="50" w:line="360" w:lineRule="auto"/>
        <w:ind w:firstLine="480" w:firstLineChars="200"/>
        <w:rPr>
          <w:rFonts w:ascii="仿宋" w:hAnsi="仿宋" w:cs="仿宋"/>
        </w:rPr>
      </w:pPr>
      <w:r>
        <w:rPr>
          <w:rFonts w:ascii="仿宋" w:hAnsi="仿宋" w:cs="仿宋"/>
        </w:rPr>
        <w:t xml:space="preserve">15.9 </w:t>
      </w:r>
      <w:r>
        <w:rPr>
          <w:rFonts w:hint="eastAsia" w:ascii="仿宋" w:hAnsi="仿宋" w:cs="仿宋"/>
        </w:rPr>
        <w:t>本协议一式</w:t>
      </w:r>
      <w:r>
        <w:rPr>
          <w:rFonts w:hint="eastAsia" w:ascii="仿宋" w:hAnsi="仿宋" w:cs="仿宋"/>
          <w:lang w:val="en-US" w:eastAsia="zh-CN"/>
        </w:rPr>
        <w:t>肆</w:t>
      </w:r>
      <w:r>
        <w:rPr>
          <w:rFonts w:hint="eastAsia" w:ascii="仿宋" w:hAnsi="仿宋" w:cs="仿宋"/>
        </w:rPr>
        <w:t>份，甲方持</w:t>
      </w:r>
      <w:r>
        <w:rPr>
          <w:rFonts w:hint="eastAsia" w:ascii="仿宋" w:hAnsi="仿宋" w:cs="仿宋"/>
          <w:lang w:val="en-US" w:eastAsia="zh-CN"/>
        </w:rPr>
        <w:t>贰</w:t>
      </w:r>
      <w:r>
        <w:rPr>
          <w:rFonts w:hint="eastAsia" w:ascii="仿宋" w:hAnsi="仿宋" w:cs="仿宋"/>
        </w:rPr>
        <w:t>份，乙方持</w:t>
      </w:r>
      <w:r>
        <w:rPr>
          <w:rFonts w:hint="eastAsia" w:ascii="仿宋" w:hAnsi="仿宋" w:cs="仿宋"/>
          <w:lang w:val="en-US" w:eastAsia="zh-CN"/>
        </w:rPr>
        <w:t>贰</w:t>
      </w:r>
      <w:r>
        <w:rPr>
          <w:rFonts w:hint="eastAsia" w:ascii="仿宋" w:hAnsi="仿宋" w:cs="仿宋"/>
        </w:rPr>
        <w:t>份，均具有同等法律效力。</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第十六条</w:t>
      </w:r>
      <w:r>
        <w:t xml:space="preserve">  </w:t>
      </w:r>
      <w:r>
        <w:rPr>
          <w:rFonts w:hint="eastAsia"/>
        </w:rPr>
        <w:t>双方另行约定的条款</w:t>
      </w:r>
    </w:p>
    <w:p>
      <w:pPr>
        <w:snapToGrid w:val="0"/>
        <w:spacing w:before="156" w:beforeLines="50" w:line="360" w:lineRule="auto"/>
        <w:ind w:firstLine="480" w:firstLineChars="200"/>
        <w:rPr>
          <w:rFonts w:ascii="仿宋" w:hAnsi="仿宋" w:cs="仿宋"/>
          <w:u w:val="single"/>
        </w:rPr>
      </w:pPr>
      <w:r>
        <w:rPr>
          <w:rFonts w:ascii="仿宋" w:hAnsi="仿宋" w:cs="仿宋"/>
          <w:u w:val="single"/>
        </w:rPr>
        <w:t xml:space="preserve"> </w:t>
      </w:r>
      <w:r>
        <w:rPr>
          <w:rFonts w:hint="default" w:ascii="仿宋" w:hAnsi="仿宋" w:cs="仿宋"/>
          <w:u w:val="single"/>
          <w:lang w:val="en-US"/>
        </w:rPr>
        <w:t xml:space="preserve">                                                             </w:t>
      </w:r>
      <w:r>
        <w:rPr>
          <w:rFonts w:ascii="仿宋" w:hAnsi="仿宋" w:cs="仿宋"/>
          <w:u w:val="single"/>
        </w:rPr>
        <w:t xml:space="preserve"> </w:t>
      </w:r>
    </w:p>
    <w:p>
      <w:pPr>
        <w:snapToGrid w:val="0"/>
        <w:spacing w:before="156" w:beforeLines="50" w:line="360" w:lineRule="auto"/>
        <w:ind w:firstLine="480" w:firstLineChars="200"/>
        <w:rPr>
          <w:rFonts w:ascii="仿宋" w:hAnsi="仿宋" w:cs="仿宋"/>
        </w:rPr>
      </w:pPr>
      <w:r>
        <w:rPr>
          <w:rFonts w:hint="eastAsia" w:ascii="仿宋" w:hAnsi="仿宋" w:cs="仿宋"/>
        </w:rPr>
        <w:t>（以下无正文）</w:t>
      </w:r>
    </w:p>
    <w:p>
      <w:pPr>
        <w:spacing w:before="156" w:beforeLines="50" w:line="360" w:lineRule="auto"/>
        <w:ind w:firstLine="482" w:firstLineChars="200"/>
        <w:rPr>
          <w:rFonts w:ascii="仿宋" w:hAnsi="仿宋"/>
          <w:b/>
          <w:bCs/>
          <w:szCs w:val="22"/>
        </w:rPr>
      </w:pPr>
      <w:bookmarkStart w:id="50" w:name="_Hlk123082317"/>
      <w:r>
        <w:rPr>
          <w:rFonts w:hint="eastAsia" w:ascii="仿宋" w:hAnsi="仿宋"/>
          <w:b/>
          <w:bCs/>
          <w:szCs w:val="22"/>
        </w:rPr>
        <w:t>特别提示：（在签署协议时，分公司可要求相对方作出如下承诺）</w:t>
      </w:r>
    </w:p>
    <w:p>
      <w:pPr>
        <w:widowControl/>
        <w:spacing w:before="156" w:beforeLines="50" w:line="360" w:lineRule="auto"/>
        <w:ind w:firstLine="480" w:firstLineChars="200"/>
        <w:rPr>
          <w:rFonts w:ascii="仿宋" w:hAnsi="仿宋"/>
          <w:szCs w:val="22"/>
        </w:rPr>
      </w:pPr>
      <w:r>
        <w:rPr>
          <w:rFonts w:hint="eastAsia" w:ascii="仿宋" w:hAnsi="仿宋"/>
          <w:szCs w:val="22"/>
        </w:rPr>
        <w:t>“</w:t>
      </w:r>
      <w:bookmarkStart w:id="51" w:name="_Hlk115288879"/>
      <w:r>
        <w:rPr>
          <w:rFonts w:hint="eastAsia" w:ascii="仿宋" w:hAnsi="仿宋"/>
          <w:b/>
          <w:szCs w:val="22"/>
          <w:u w:val="single"/>
        </w:rPr>
        <w:t>乙方</w:t>
      </w:r>
      <w:bookmarkEnd w:id="51"/>
      <w:r>
        <w:rPr>
          <w:rFonts w:hint="eastAsia" w:ascii="仿宋" w:hAnsi="仿宋"/>
          <w:b/>
          <w:szCs w:val="22"/>
        </w:rPr>
        <w:t>声明本协议为经甲乙双方平等协商一致订立的，本协议的全部条款已由甲方进行相应的解释和说明，并特别提请乙方注意本协议权利义务的限制或增加责任的条款。乙方确认对本协议条款的理解与甲方完全一致，已</w:t>
      </w:r>
      <w:r>
        <w:rPr>
          <w:rFonts w:hint="eastAsia" w:ascii="仿宋" w:hAnsi="仿宋"/>
          <w:b/>
          <w:szCs w:val="22"/>
          <w:u w:val="single"/>
        </w:rPr>
        <w:t>完全知悉并理解</w:t>
      </w:r>
      <w:r>
        <w:rPr>
          <w:rFonts w:hint="eastAsia" w:ascii="仿宋" w:hAnsi="仿宋"/>
          <w:b/>
          <w:szCs w:val="22"/>
        </w:rPr>
        <w:t>该等条款。乙方</w:t>
      </w:r>
      <w:r>
        <w:rPr>
          <w:rFonts w:ascii="仿宋" w:hAnsi="仿宋"/>
          <w:b/>
          <w:szCs w:val="22"/>
          <w:u w:val="single"/>
        </w:rPr>
        <w:t>已阅读</w:t>
      </w:r>
      <w:r>
        <w:rPr>
          <w:rFonts w:ascii="仿宋" w:hAnsi="仿宋"/>
          <w:b/>
          <w:szCs w:val="22"/>
        </w:rPr>
        <w:t>并</w:t>
      </w:r>
      <w:r>
        <w:rPr>
          <w:rFonts w:ascii="仿宋" w:hAnsi="仿宋"/>
          <w:b/>
          <w:szCs w:val="22"/>
          <w:u w:val="single"/>
        </w:rPr>
        <w:t>完全接受</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ascii="仿宋" w:hAnsi="仿宋"/>
          <w:b/>
          <w:szCs w:val="22"/>
          <w:u w:val="single"/>
        </w:rPr>
        <w:t>愿意承担</w:t>
      </w:r>
      <w:r>
        <w:rPr>
          <w:rFonts w:hint="eastAsia" w:ascii="仿宋" w:hAnsi="仿宋"/>
          <w:b/>
          <w:szCs w:val="22"/>
          <w:u w:val="single"/>
        </w:rPr>
        <w:t>风险和义务、责任。</w:t>
      </w:r>
      <w:r>
        <w:rPr>
          <w:rFonts w:hint="eastAsia" w:ascii="仿宋" w:hAnsi="仿宋"/>
          <w:b/>
          <w:szCs w:val="22"/>
        </w:rPr>
        <w:t>”</w:t>
      </w:r>
      <w:r>
        <w:rPr>
          <w:rFonts w:ascii="仿宋" w:hAnsi="仿宋"/>
          <w:szCs w:val="22"/>
        </w:rPr>
        <w:t xml:space="preserve"> </w:t>
      </w:r>
    </w:p>
    <w:p>
      <w:pPr>
        <w:widowControl/>
        <w:spacing w:before="156" w:beforeLines="50" w:line="360" w:lineRule="auto"/>
        <w:ind w:firstLine="480"/>
        <w:rPr>
          <w:rFonts w:ascii="仿宋" w:hAnsi="仿宋"/>
          <w:b/>
          <w:bCs/>
          <w:szCs w:val="22"/>
        </w:rPr>
      </w:pPr>
      <w:r>
        <w:rPr>
          <w:rFonts w:hint="eastAsia" w:ascii="仿宋" w:hAnsi="仿宋"/>
          <w:b/>
          <w:szCs w:val="22"/>
        </w:rPr>
        <w:t>“</w:t>
      </w:r>
      <w:r>
        <w:rPr>
          <w:rFonts w:hint="eastAsia" w:ascii="宋体" w:hAnsi="宋体"/>
          <w:spacing w:val="-44"/>
          <w:sz w:val="46"/>
          <w:szCs w:val="30"/>
        </w:rPr>
        <w:t>□□</w:t>
      </w:r>
      <w:r>
        <w:rPr>
          <w:rFonts w:hint="eastAsia" w:ascii="仿宋" w:hAnsi="仿宋"/>
          <w:b/>
          <w:szCs w:val="22"/>
        </w:rPr>
        <w:t>声明本协议为经甲乙双方协商一致订立的，本协议的全部条款已由甲方进行相应的解释和说明，并特别提请乙方</w:t>
      </w:r>
      <w:r>
        <w:rPr>
          <w:rFonts w:ascii="仿宋" w:hAnsi="仿宋"/>
          <w:b/>
          <w:szCs w:val="22"/>
        </w:rPr>
        <w:t>注意本协议权利义务的限制或增加责任的条款。</w:t>
      </w:r>
      <w:r>
        <w:rPr>
          <w:rFonts w:hint="eastAsia" w:ascii="仿宋" w:hAnsi="仿宋"/>
          <w:b/>
          <w:szCs w:val="22"/>
        </w:rPr>
        <w:t>乙方</w:t>
      </w:r>
      <w:r>
        <w:rPr>
          <w:rFonts w:ascii="仿宋" w:hAnsi="仿宋"/>
          <w:b/>
          <w:szCs w:val="22"/>
        </w:rPr>
        <w:t>确认对本协议条款的理解与甲方完全一致，已</w:t>
      </w:r>
      <w:r>
        <w:rPr>
          <w:rFonts w:hint="eastAsia" w:ascii="宋体" w:hAnsi="宋体"/>
          <w:spacing w:val="-44"/>
          <w:sz w:val="46"/>
          <w:szCs w:val="30"/>
        </w:rPr>
        <w:t>□□□□□□□</w:t>
      </w:r>
      <w:r>
        <w:rPr>
          <w:rFonts w:hint="eastAsia" w:ascii="仿宋" w:hAnsi="仿宋"/>
          <w:b/>
          <w:szCs w:val="22"/>
        </w:rPr>
        <w:t>该等条款。乙方</w:t>
      </w:r>
      <w:r>
        <w:rPr>
          <w:rFonts w:hint="eastAsia" w:ascii="宋体" w:hAnsi="宋体"/>
          <w:spacing w:val="-44"/>
          <w:sz w:val="46"/>
          <w:szCs w:val="30"/>
        </w:rPr>
        <w:t>□□□</w:t>
      </w:r>
      <w:r>
        <w:rPr>
          <w:rFonts w:ascii="仿宋" w:hAnsi="仿宋"/>
          <w:b/>
          <w:szCs w:val="22"/>
        </w:rPr>
        <w:t>并</w:t>
      </w:r>
      <w:r>
        <w:rPr>
          <w:rFonts w:hint="eastAsia" w:ascii="宋体" w:hAnsi="宋体"/>
          <w:spacing w:val="-44"/>
          <w:sz w:val="46"/>
          <w:szCs w:val="30"/>
        </w:rPr>
        <w:t>□□□□</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hint="eastAsia" w:ascii="宋体" w:hAnsi="宋体"/>
          <w:spacing w:val="-44"/>
          <w:sz w:val="46"/>
          <w:szCs w:val="30"/>
        </w:rPr>
        <w:t>□□□□□□□□□□□□</w:t>
      </w:r>
      <w:r>
        <w:rPr>
          <w:rFonts w:hint="eastAsia" w:ascii="仿宋" w:hAnsi="仿宋"/>
          <w:b/>
          <w:szCs w:val="22"/>
        </w:rPr>
        <w:t>。”</w:t>
      </w:r>
      <w:r>
        <w:rPr>
          <w:rFonts w:hint="eastAsia" w:ascii="仿宋" w:hAnsi="仿宋"/>
          <w:b/>
          <w:bCs/>
          <w:szCs w:val="22"/>
        </w:rPr>
        <w:t xml:space="preserve">  </w:t>
      </w:r>
    </w:p>
    <w:bookmarkEnd w:id="50"/>
    <w:p>
      <w:pPr>
        <w:widowControl/>
        <w:jc w:val="left"/>
        <w:rPr>
          <w:rFonts w:ascii="仿宋" w:hAnsi="仿宋" w:cs="仿宋"/>
          <w:b/>
          <w:color w:val="000000"/>
        </w:rPr>
      </w:pPr>
    </w:p>
    <w:p>
      <w:pPr>
        <w:snapToGrid w:val="0"/>
        <w:spacing w:before="156" w:beforeLines="50" w:line="360" w:lineRule="auto"/>
        <w:rPr>
          <w:rFonts w:hint="eastAsia" w:ascii="仿宋" w:hAnsi="仿宋" w:cs="仿宋"/>
          <w:b/>
          <w:bCs/>
          <w:color w:val="000000"/>
        </w:rPr>
      </w:pPr>
    </w:p>
    <w:p>
      <w:pPr>
        <w:pStyle w:val="2"/>
        <w:rPr>
          <w:rFonts w:hint="eastAsia"/>
        </w:rPr>
      </w:pPr>
    </w:p>
    <w:p>
      <w:pPr>
        <w:snapToGrid w:val="0"/>
        <w:spacing w:before="156" w:beforeLines="50" w:line="360" w:lineRule="auto"/>
        <w:rPr>
          <w:rFonts w:ascii="仿宋" w:hAnsi="仿宋" w:cs="仿宋"/>
          <w:b/>
          <w:bCs/>
          <w:color w:val="000000"/>
        </w:rPr>
      </w:pPr>
      <w:r>
        <w:rPr>
          <w:rFonts w:hint="eastAsia" w:ascii="仿宋" w:hAnsi="仿宋" w:cs="仿宋"/>
          <w:b/>
          <w:bCs/>
          <w:color w:val="000000"/>
        </w:rPr>
        <w:t>【本页为《</w:t>
      </w:r>
      <w:bookmarkStart w:id="52" w:name="_Hlk116293530"/>
      <w:r>
        <w:rPr>
          <w:rFonts w:hint="eastAsia" w:ascii="仿宋" w:hAnsi="仿宋" w:cs="仿宋"/>
          <w:b/>
        </w:rPr>
        <w:t>中国长城资产管理股份有限公司</w:t>
      </w:r>
      <w:r>
        <w:rPr>
          <w:rFonts w:ascii="仿宋" w:hAnsi="仿宋" w:cs="仿宋"/>
          <w:b/>
        </w:rPr>
        <w:t xml:space="preserve">    </w:t>
      </w:r>
      <w:r>
        <w:rPr>
          <w:rFonts w:hint="eastAsia" w:ascii="仿宋" w:hAnsi="仿宋" w:cs="仿宋"/>
          <w:b/>
        </w:rPr>
        <w:t xml:space="preserve">分公司 与 </w:t>
      </w:r>
      <w:r>
        <w:rPr>
          <w:rFonts w:ascii="仿宋" w:hAnsi="仿宋" w:cs="仿宋"/>
          <w:b/>
        </w:rPr>
        <w:t xml:space="preserve"> </w:t>
      </w:r>
      <w:r>
        <w:rPr>
          <w:rFonts w:hint="eastAsia" w:ascii="仿宋" w:hAnsi="仿宋" w:cs="仿宋"/>
          <w:b/>
        </w:rPr>
        <w:t xml:space="preserve">    </w:t>
      </w:r>
      <w:r>
        <w:rPr>
          <w:rFonts w:ascii="仿宋" w:hAnsi="仿宋" w:cs="仿宋"/>
          <w:b/>
        </w:rPr>
        <w:t xml:space="preserve"> </w:t>
      </w:r>
      <w:r>
        <w:rPr>
          <w:rFonts w:hint="eastAsia" w:ascii="仿宋" w:hAnsi="仿宋" w:cs="仿宋"/>
          <w:b/>
        </w:rPr>
        <w:t>公司</w:t>
      </w:r>
      <w:bookmarkEnd w:id="52"/>
      <w:r>
        <w:rPr>
          <w:rFonts w:hint="eastAsia" w:ascii="仿宋" w:hAnsi="仿宋" w:cs="仿宋"/>
          <w:b/>
          <w:bCs/>
          <w:color w:val="000000"/>
        </w:rPr>
        <w:t>债权转让协议》签署页，无正文】</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color w:val="000000"/>
        </w:rPr>
        <w:t>在签署本协议时，各当事人对本协议的所有条款均已阅悉且无异议，并对本协议约定的各当事人之间权利、义务和责任条款的法律含义有准确无误的理解。</w:t>
      </w:r>
    </w:p>
    <w:p>
      <w:pPr>
        <w:snapToGrid w:val="0"/>
        <w:spacing w:before="156" w:beforeLines="50" w:line="360" w:lineRule="auto"/>
        <w:outlineLvl w:val="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甲方（盖章）：中国长城资产管理股份有限公司</w:t>
      </w:r>
      <w:r>
        <w:rPr>
          <w:rFonts w:ascii="仿宋" w:hAnsi="仿宋" w:cs="仿宋"/>
          <w:b/>
          <w:color w:val="000000"/>
        </w:rPr>
        <w:t xml:space="preserve">     </w:t>
      </w:r>
      <w:r>
        <w:rPr>
          <w:rFonts w:hint="eastAsia" w:ascii="仿宋" w:hAnsi="仿宋" w:cs="仿宋"/>
          <w:b/>
          <w:color w:val="000000"/>
        </w:rPr>
        <w:t>分公司</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负责人或授权代表（签字或加盖人名章）：</w:t>
      </w: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乙方（盖章）：</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法定代表人或授权代表（签字或加盖人名章）：</w:t>
      </w:r>
    </w:p>
    <w:p>
      <w:pPr>
        <w:snapToGrid w:val="0"/>
        <w:spacing w:before="156" w:beforeLines="50" w:line="360" w:lineRule="auto"/>
        <w:ind w:firstLine="480" w:firstLineChars="200"/>
        <w:rPr>
          <w:rFonts w:ascii="仿宋" w:hAnsi="仿宋" w:cs="仿宋"/>
          <w:color w:val="000000"/>
        </w:rPr>
      </w:pPr>
    </w:p>
    <w:p>
      <w:pPr>
        <w:jc w:val="center"/>
        <w:rPr>
          <w:b/>
          <w:bCs/>
          <w:sz w:val="30"/>
          <w:szCs w:val="30"/>
        </w:rPr>
      </w:pPr>
      <w:r>
        <w:rPr>
          <w:rFonts w:hint="eastAsia" w:ascii="仿宋" w:hAnsi="仿宋" w:cs="仿宋"/>
          <w:b/>
          <w:color w:val="000000"/>
          <w:szCs w:val="28"/>
        </w:rPr>
        <w:br w:type="page"/>
      </w:r>
      <w:r>
        <w:rPr>
          <w:rFonts w:hint="eastAsia"/>
          <w:b/>
          <w:bCs/>
          <w:sz w:val="30"/>
          <w:szCs w:val="30"/>
        </w:rPr>
        <w:t>债权转让协议</w:t>
      </w:r>
    </w:p>
    <w:p>
      <w:pPr>
        <w:jc w:val="center"/>
        <w:rPr>
          <w:b/>
          <w:bCs/>
          <w:sz w:val="30"/>
          <w:szCs w:val="30"/>
        </w:rPr>
      </w:pPr>
      <w:r>
        <w:rPr>
          <w:rFonts w:hint="eastAsia"/>
          <w:b/>
          <w:bCs/>
          <w:sz w:val="30"/>
          <w:szCs w:val="30"/>
        </w:rPr>
        <w:t>附件清单</w:t>
      </w:r>
    </w:p>
    <w:p>
      <w:pPr>
        <w:spacing w:before="156" w:beforeLines="50" w:line="360" w:lineRule="auto"/>
        <w:jc w:val="center"/>
        <w:outlineLvl w:val="0"/>
        <w:rPr>
          <w:rFonts w:ascii="仿宋" w:hAnsi="仿宋"/>
          <w:b/>
          <w:color w:val="000000"/>
          <w:sz w:val="30"/>
          <w:szCs w:val="30"/>
        </w:rPr>
      </w:pPr>
    </w:p>
    <w:p>
      <w:pPr>
        <w:tabs>
          <w:tab w:val="left" w:pos="8280"/>
        </w:tabs>
        <w:snapToGrid w:val="0"/>
        <w:spacing w:before="156" w:beforeLines="50" w:line="360" w:lineRule="auto"/>
        <w:ind w:left="1446" w:right="-154"/>
        <w:rPr>
          <w:rFonts w:ascii="仿宋" w:hAnsi="仿宋"/>
          <w:b/>
          <w:color w:val="000000"/>
        </w:rPr>
      </w:pPr>
      <w:r>
        <w:rPr>
          <w:rFonts w:ascii="仿宋" w:hAnsi="仿宋"/>
          <w:b/>
          <w:color w:val="000000"/>
        </w:rPr>
        <w:t>附件一：</w:t>
      </w:r>
      <w:r>
        <w:rPr>
          <w:rFonts w:hint="eastAsia" w:ascii="仿宋" w:hAnsi="仿宋"/>
          <w:b/>
          <w:color w:val="000000"/>
        </w:rPr>
        <w:t>标的债权明细表</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附件二：</w:t>
      </w:r>
      <w:r>
        <w:rPr>
          <w:rFonts w:hint="eastAsia" w:ascii="仿宋" w:hAnsi="仿宋"/>
          <w:b/>
          <w:color w:val="000000"/>
        </w:rPr>
        <w:t>标的债权证明文件清单</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附件三：服务协议清单</w:t>
      </w:r>
    </w:p>
    <w:p>
      <w:pPr>
        <w:tabs>
          <w:tab w:val="left" w:pos="8280"/>
        </w:tabs>
        <w:snapToGrid w:val="0"/>
        <w:spacing w:before="156" w:beforeLines="50" w:line="360" w:lineRule="auto"/>
        <w:ind w:right="-154" w:firstLine="1446" w:firstLineChars="600"/>
        <w:rPr>
          <w:rFonts w:ascii="仿宋" w:hAnsi="仿宋"/>
          <w:b/>
          <w:color w:val="000000"/>
        </w:rPr>
      </w:pPr>
      <w:r>
        <w:rPr>
          <w:rFonts w:hint="eastAsia" w:ascii="仿宋" w:hAnsi="仿宋"/>
          <w:b/>
          <w:color w:val="000000"/>
        </w:rPr>
        <w:t>附件四：回收及费用结算明细表</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六</w:t>
      </w:r>
      <w:r>
        <w:rPr>
          <w:rFonts w:hint="eastAsia" w:ascii="仿宋" w:hAnsi="仿宋"/>
          <w:b/>
        </w:rPr>
        <w:t>：债权转让确认函</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七</w:t>
      </w:r>
      <w:r>
        <w:rPr>
          <w:rFonts w:hint="eastAsia" w:ascii="仿宋" w:hAnsi="仿宋"/>
          <w:b/>
        </w:rPr>
        <w:t>：协议条款说明记录单</w:t>
      </w:r>
    </w:p>
    <w:p>
      <w:pPr>
        <w:tabs>
          <w:tab w:val="left" w:pos="8280"/>
        </w:tabs>
        <w:snapToGrid w:val="0"/>
        <w:spacing w:line="380" w:lineRule="atLeast"/>
        <w:ind w:left="1441" w:right="-154"/>
        <w:rPr>
          <w:rFonts w:ascii="仿宋" w:hAnsi="仿宋"/>
          <w:b/>
          <w:color w:val="000000"/>
        </w:rPr>
      </w:pPr>
    </w:p>
    <w:p>
      <w:pPr>
        <w:rPr>
          <w:rFonts w:ascii="仿宋" w:hAnsi="仿宋"/>
          <w:color w:val="00000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rPr>
          <w:rFonts w:ascii="仿宋" w:hAnsi="仿宋"/>
          <w:color w:val="000000"/>
          <w:sz w:val="28"/>
          <w:szCs w:val="28"/>
        </w:rPr>
      </w:pPr>
    </w:p>
    <w:p>
      <w:pPr>
        <w:jc w:val="center"/>
      </w:pPr>
      <w:r>
        <w:rPr>
          <w:rFonts w:hint="eastAsia"/>
          <w:b/>
          <w:bCs/>
        </w:rPr>
        <w:t>附件一：标的债权明细表</w:t>
      </w:r>
    </w:p>
    <w:p>
      <w:pPr>
        <w:ind w:firstLine="11880" w:firstLineChars="4950"/>
        <w:rPr>
          <w:rFonts w:ascii="仿宋" w:hAnsi="仿宋"/>
          <w:color w:val="000000"/>
        </w:rPr>
      </w:pPr>
    </w:p>
    <w:p>
      <w:pPr>
        <w:ind w:firstLine="11880" w:firstLineChars="4950"/>
        <w:rPr>
          <w:rFonts w:ascii="仿宋" w:hAnsi="仿宋"/>
          <w:color w:val="000000"/>
        </w:rPr>
      </w:pPr>
      <w:r>
        <w:rPr>
          <w:rFonts w:hint="eastAsia" w:ascii="仿宋" w:hAnsi="仿宋"/>
          <w:color w:val="000000"/>
        </w:rPr>
        <w:t>单位：元</w:t>
      </w:r>
    </w:p>
    <w:tbl>
      <w:tblPr>
        <w:tblStyle w:val="8"/>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083"/>
        <w:gridCol w:w="1512"/>
        <w:gridCol w:w="1715"/>
        <w:gridCol w:w="1724"/>
        <w:gridCol w:w="1691"/>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757" w:type="dxa"/>
            <w:vAlign w:val="center"/>
          </w:tcPr>
          <w:p>
            <w:pPr>
              <w:pStyle w:val="3"/>
              <w:numPr>
                <w:ilvl w:val="0"/>
                <w:numId w:val="0"/>
              </w:numPr>
              <w:tabs>
                <w:tab w:val="clear" w:pos="420"/>
              </w:tabs>
              <w:jc w:val="center"/>
              <w:rPr>
                <w:rFonts w:ascii="仿宋" w:hAnsi="仿宋"/>
                <w:color w:val="auto"/>
              </w:rPr>
            </w:pPr>
            <w:r>
              <w:rPr>
                <w:rFonts w:hint="eastAsia" w:ascii="仿宋" w:hAnsi="仿宋"/>
                <w:color w:val="auto"/>
              </w:rPr>
              <w:t>序号</w:t>
            </w:r>
          </w:p>
        </w:tc>
        <w:tc>
          <w:tcPr>
            <w:tcW w:w="3083" w:type="dxa"/>
            <w:vAlign w:val="center"/>
          </w:tcPr>
          <w:p>
            <w:pPr>
              <w:pStyle w:val="3"/>
              <w:numPr>
                <w:ilvl w:val="0"/>
                <w:numId w:val="0"/>
              </w:numPr>
              <w:tabs>
                <w:tab w:val="clear" w:pos="420"/>
              </w:tabs>
              <w:jc w:val="center"/>
              <w:rPr>
                <w:rFonts w:ascii="仿宋" w:hAnsi="仿宋"/>
                <w:color w:val="auto"/>
              </w:rPr>
            </w:pPr>
            <w:r>
              <w:rPr>
                <w:rFonts w:hint="eastAsia" w:ascii="仿宋" w:hAnsi="仿宋"/>
                <w:color w:val="auto"/>
              </w:rPr>
              <w:t>借款人名称</w:t>
            </w:r>
          </w:p>
        </w:tc>
        <w:tc>
          <w:tcPr>
            <w:tcW w:w="1512" w:type="dxa"/>
            <w:vAlign w:val="center"/>
          </w:tcPr>
          <w:p>
            <w:pPr>
              <w:pStyle w:val="3"/>
              <w:numPr>
                <w:ilvl w:val="0"/>
                <w:numId w:val="0"/>
              </w:numPr>
              <w:tabs>
                <w:tab w:val="clear" w:pos="420"/>
              </w:tabs>
              <w:jc w:val="center"/>
              <w:rPr>
                <w:rFonts w:hint="eastAsia" w:ascii="仿宋" w:hAnsi="仿宋"/>
                <w:color w:val="auto"/>
              </w:rPr>
            </w:pPr>
            <w:r>
              <w:rPr>
                <w:rFonts w:hint="eastAsia" w:ascii="仿宋" w:hAnsi="仿宋"/>
                <w:color w:val="auto"/>
              </w:rPr>
              <w:t>本金余额</w:t>
            </w:r>
          </w:p>
          <w:p>
            <w:pPr>
              <w:pStyle w:val="3"/>
              <w:numPr>
                <w:ilvl w:val="0"/>
                <w:numId w:val="0"/>
              </w:numPr>
              <w:tabs>
                <w:tab w:val="clear" w:pos="420"/>
              </w:tabs>
              <w:jc w:val="center"/>
              <w:rPr>
                <w:rFonts w:ascii="仿宋" w:hAnsi="仿宋"/>
                <w:color w:val="auto"/>
              </w:rPr>
            </w:pPr>
            <w:r>
              <w:rPr>
                <w:rFonts w:hint="eastAsia" w:ascii="仿宋" w:hAnsi="仿宋"/>
                <w:color w:val="auto"/>
              </w:rPr>
              <w:t>（人民币）</w:t>
            </w:r>
          </w:p>
        </w:tc>
        <w:tc>
          <w:tcPr>
            <w:tcW w:w="1715" w:type="dxa"/>
            <w:vAlign w:val="center"/>
          </w:tcPr>
          <w:p>
            <w:pPr>
              <w:pStyle w:val="3"/>
              <w:numPr>
                <w:ilvl w:val="0"/>
                <w:numId w:val="0"/>
              </w:numPr>
              <w:tabs>
                <w:tab w:val="clear" w:pos="420"/>
              </w:tabs>
              <w:jc w:val="center"/>
              <w:rPr>
                <w:rFonts w:ascii="仿宋" w:hAnsi="仿宋"/>
                <w:color w:val="auto"/>
              </w:rPr>
            </w:pPr>
            <w:r>
              <w:rPr>
                <w:rFonts w:hint="eastAsia" w:ascii="仿宋" w:hAnsi="仿宋"/>
                <w:color w:val="auto"/>
              </w:rPr>
              <w:t>利息</w:t>
            </w:r>
          </w:p>
          <w:p>
            <w:pPr>
              <w:pStyle w:val="3"/>
              <w:numPr>
                <w:ilvl w:val="0"/>
                <w:numId w:val="0"/>
              </w:numPr>
              <w:tabs>
                <w:tab w:val="clear" w:pos="420"/>
              </w:tabs>
              <w:jc w:val="center"/>
              <w:rPr>
                <w:rFonts w:ascii="仿宋" w:hAnsi="仿宋"/>
                <w:color w:val="auto"/>
              </w:rPr>
            </w:pPr>
            <w:r>
              <w:rPr>
                <w:rFonts w:hint="eastAsia" w:ascii="仿宋" w:hAnsi="仿宋"/>
                <w:color w:val="auto"/>
              </w:rPr>
              <w:t>（人民币）</w:t>
            </w:r>
          </w:p>
        </w:tc>
        <w:tc>
          <w:tcPr>
            <w:tcW w:w="1724" w:type="dxa"/>
            <w:vAlign w:val="center"/>
          </w:tcPr>
          <w:p>
            <w:pPr>
              <w:pStyle w:val="3"/>
              <w:numPr>
                <w:ilvl w:val="0"/>
                <w:numId w:val="0"/>
              </w:numPr>
              <w:tabs>
                <w:tab w:val="clear" w:pos="420"/>
              </w:tabs>
              <w:jc w:val="center"/>
              <w:rPr>
                <w:rFonts w:hint="eastAsia" w:ascii="仿宋" w:hAnsi="仿宋"/>
                <w:bCs w:val="0"/>
                <w:color w:val="auto"/>
              </w:rPr>
            </w:pPr>
            <w:r>
              <w:rPr>
                <w:rFonts w:hint="eastAsia" w:ascii="仿宋" w:hAnsi="仿宋"/>
                <w:bCs w:val="0"/>
                <w:color w:val="auto"/>
              </w:rPr>
              <w:t>违约金</w:t>
            </w:r>
          </w:p>
          <w:p>
            <w:pPr>
              <w:pStyle w:val="3"/>
              <w:numPr>
                <w:ilvl w:val="0"/>
                <w:numId w:val="0"/>
              </w:numPr>
              <w:tabs>
                <w:tab w:val="clear" w:pos="420"/>
              </w:tabs>
              <w:jc w:val="center"/>
              <w:rPr>
                <w:rFonts w:ascii="仿宋" w:hAnsi="仿宋"/>
                <w:bCs w:val="0"/>
                <w:color w:val="auto"/>
              </w:rPr>
            </w:pPr>
            <w:r>
              <w:rPr>
                <w:rFonts w:hint="eastAsia" w:ascii="仿宋" w:hAnsi="仿宋"/>
                <w:bCs w:val="0"/>
                <w:color w:val="auto"/>
              </w:rPr>
              <w:t>（人民币）</w:t>
            </w:r>
          </w:p>
        </w:tc>
        <w:tc>
          <w:tcPr>
            <w:tcW w:w="1691" w:type="dxa"/>
            <w:vAlign w:val="center"/>
          </w:tcPr>
          <w:p>
            <w:pPr>
              <w:pStyle w:val="3"/>
              <w:numPr>
                <w:ilvl w:val="0"/>
                <w:numId w:val="0"/>
              </w:numPr>
              <w:tabs>
                <w:tab w:val="clear" w:pos="420"/>
              </w:tabs>
              <w:jc w:val="center"/>
              <w:rPr>
                <w:rFonts w:ascii="仿宋" w:hAnsi="仿宋"/>
                <w:bCs w:val="0"/>
                <w:color w:val="auto"/>
              </w:rPr>
            </w:pPr>
            <w:r>
              <w:rPr>
                <w:rFonts w:hint="eastAsia" w:ascii="仿宋" w:hAnsi="仿宋"/>
                <w:bCs w:val="0"/>
                <w:color w:val="auto"/>
              </w:rPr>
              <w:t>合计</w:t>
            </w:r>
          </w:p>
          <w:p>
            <w:pPr>
              <w:pStyle w:val="3"/>
              <w:numPr>
                <w:ilvl w:val="0"/>
                <w:numId w:val="0"/>
              </w:numPr>
              <w:tabs>
                <w:tab w:val="clear" w:pos="420"/>
              </w:tabs>
              <w:jc w:val="center"/>
              <w:rPr>
                <w:rFonts w:ascii="仿宋" w:hAnsi="仿宋"/>
                <w:color w:val="auto"/>
              </w:rPr>
            </w:pPr>
            <w:r>
              <w:rPr>
                <w:rFonts w:hint="eastAsia" w:ascii="仿宋" w:hAnsi="仿宋"/>
                <w:bCs w:val="0"/>
                <w:color w:val="auto"/>
              </w:rPr>
              <w:t>（人民币）</w:t>
            </w:r>
          </w:p>
        </w:tc>
        <w:tc>
          <w:tcPr>
            <w:tcW w:w="3681" w:type="dxa"/>
            <w:vAlign w:val="center"/>
          </w:tcPr>
          <w:p>
            <w:pPr>
              <w:pStyle w:val="3"/>
              <w:numPr>
                <w:ilvl w:val="0"/>
                <w:numId w:val="0"/>
              </w:numPr>
              <w:tabs>
                <w:tab w:val="clear" w:pos="420"/>
              </w:tabs>
              <w:jc w:val="center"/>
              <w:rPr>
                <w:rFonts w:ascii="仿宋" w:hAnsi="仿宋"/>
                <w:color w:val="auto"/>
              </w:rPr>
            </w:pPr>
            <w:r>
              <w:rPr>
                <w:rFonts w:hint="eastAsia" w:ascii="仿宋" w:hAnsi="仿宋"/>
                <w:bCs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757" w:type="dxa"/>
            <w:vAlign w:val="center"/>
          </w:tcPr>
          <w:p>
            <w:pPr>
              <w:pStyle w:val="3"/>
              <w:numPr>
                <w:ilvl w:val="0"/>
                <w:numId w:val="0"/>
              </w:numPr>
              <w:tabs>
                <w:tab w:val="clear" w:pos="420"/>
              </w:tabs>
              <w:jc w:val="center"/>
              <w:rPr>
                <w:rFonts w:hint="eastAsia" w:ascii="仿宋" w:hAnsi="仿宋" w:eastAsia="仿宋"/>
                <w:color w:val="auto"/>
                <w:sz w:val="20"/>
                <w:szCs w:val="20"/>
                <w:lang w:val="en-US" w:eastAsia="zh-CN"/>
              </w:rPr>
            </w:pPr>
            <w:r>
              <w:rPr>
                <w:rFonts w:hint="eastAsia" w:ascii="仿宋" w:hAnsi="仿宋"/>
                <w:color w:val="auto"/>
                <w:sz w:val="20"/>
                <w:szCs w:val="20"/>
                <w:lang w:val="en-US" w:eastAsia="zh-CN"/>
              </w:rPr>
              <w:t>1</w:t>
            </w:r>
          </w:p>
        </w:tc>
        <w:tc>
          <w:tcPr>
            <w:tcW w:w="3083" w:type="dxa"/>
            <w:vAlign w:val="center"/>
          </w:tcPr>
          <w:p>
            <w:pPr>
              <w:pStyle w:val="3"/>
              <w:numPr>
                <w:ilvl w:val="0"/>
                <w:numId w:val="0"/>
              </w:numPr>
              <w:tabs>
                <w:tab w:val="clear" w:pos="420"/>
              </w:tabs>
              <w:rPr>
                <w:rFonts w:hint="default" w:ascii="仿宋" w:hAnsi="仿宋" w:eastAsia="仿宋"/>
                <w:color w:val="auto"/>
                <w:sz w:val="20"/>
                <w:szCs w:val="20"/>
                <w:lang w:val="en-US" w:eastAsia="zh-CN"/>
              </w:rPr>
            </w:pPr>
            <w:r>
              <w:rPr>
                <w:rFonts w:hint="eastAsia" w:ascii="仿宋" w:hAnsi="仿宋"/>
                <w:color w:val="auto"/>
                <w:sz w:val="20"/>
                <w:szCs w:val="20"/>
                <w:lang w:val="en-US" w:eastAsia="zh-CN"/>
              </w:rPr>
              <w:t>海南阳光美基投资开发有限公司</w:t>
            </w:r>
          </w:p>
        </w:tc>
        <w:tc>
          <w:tcPr>
            <w:tcW w:w="1512" w:type="dxa"/>
            <w:vAlign w:val="center"/>
          </w:tcPr>
          <w:p>
            <w:pPr>
              <w:pStyle w:val="3"/>
              <w:numPr>
                <w:ilvl w:val="0"/>
                <w:numId w:val="0"/>
              </w:numPr>
              <w:tabs>
                <w:tab w:val="clear" w:pos="420"/>
              </w:tabs>
              <w:rPr>
                <w:rFonts w:hint="default" w:ascii="仿宋" w:hAnsi="仿宋" w:eastAsia="仿宋"/>
                <w:color w:val="auto"/>
                <w:sz w:val="20"/>
                <w:szCs w:val="20"/>
                <w:lang w:val="en-US" w:eastAsia="zh-CN"/>
              </w:rPr>
            </w:pPr>
            <w:r>
              <w:rPr>
                <w:rFonts w:hint="eastAsia" w:ascii="仿宋" w:hAnsi="仿宋"/>
                <w:color w:val="auto"/>
                <w:sz w:val="20"/>
                <w:szCs w:val="20"/>
                <w:lang w:val="en-US" w:eastAsia="zh-CN"/>
              </w:rPr>
              <w:t>380,000,000</w:t>
            </w:r>
          </w:p>
        </w:tc>
        <w:tc>
          <w:tcPr>
            <w:tcW w:w="1715" w:type="dxa"/>
            <w:vAlign w:val="center"/>
          </w:tcPr>
          <w:p>
            <w:pPr>
              <w:pStyle w:val="3"/>
              <w:numPr>
                <w:ilvl w:val="0"/>
                <w:numId w:val="0"/>
              </w:numPr>
              <w:tabs>
                <w:tab w:val="clear" w:pos="420"/>
              </w:tabs>
              <w:rPr>
                <w:rFonts w:ascii="仿宋" w:hAnsi="仿宋"/>
                <w:color w:val="auto"/>
                <w:sz w:val="20"/>
                <w:szCs w:val="20"/>
              </w:rPr>
            </w:pPr>
            <w:r>
              <w:rPr>
                <w:rFonts w:hint="eastAsia" w:ascii="仿宋" w:hAnsi="仿宋" w:cs="仿宋"/>
                <w:sz w:val="20"/>
                <w:szCs w:val="20"/>
                <w:u w:val="single"/>
                <w:lang w:val="en-US" w:eastAsia="zh-CN"/>
              </w:rPr>
              <w:t>279</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824</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353</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81</w:t>
            </w:r>
          </w:p>
        </w:tc>
        <w:tc>
          <w:tcPr>
            <w:tcW w:w="1724" w:type="dxa"/>
            <w:vAlign w:val="center"/>
          </w:tcPr>
          <w:p>
            <w:pPr>
              <w:pStyle w:val="3"/>
              <w:numPr>
                <w:ilvl w:val="0"/>
                <w:numId w:val="0"/>
              </w:numPr>
              <w:tabs>
                <w:tab w:val="clear" w:pos="420"/>
              </w:tabs>
              <w:rPr>
                <w:rFonts w:ascii="仿宋" w:hAnsi="仿宋"/>
                <w:color w:val="auto"/>
                <w:sz w:val="20"/>
                <w:szCs w:val="20"/>
              </w:rPr>
            </w:pPr>
            <w:r>
              <w:rPr>
                <w:rFonts w:hint="eastAsia" w:ascii="仿宋" w:hAnsi="仿宋" w:cs="仿宋"/>
                <w:sz w:val="20"/>
                <w:szCs w:val="20"/>
                <w:u w:val="single"/>
                <w:lang w:val="en-US" w:eastAsia="zh-CN"/>
              </w:rPr>
              <w:t>259</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090</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88</w:t>
            </w:r>
            <w:r>
              <w:rPr>
                <w:rFonts w:hint="eastAsia" w:ascii="仿宋" w:hAnsi="仿宋" w:eastAsia="仿宋" w:cs="仿宋"/>
                <w:sz w:val="20"/>
                <w:szCs w:val="20"/>
                <w:u w:val="single"/>
                <w:lang w:val="en-US" w:eastAsia="zh-CN"/>
              </w:rPr>
              <w:t>8.</w:t>
            </w:r>
            <w:r>
              <w:rPr>
                <w:rFonts w:hint="eastAsia" w:ascii="仿宋" w:hAnsi="仿宋" w:cs="仿宋"/>
                <w:sz w:val="20"/>
                <w:szCs w:val="20"/>
                <w:u w:val="single"/>
                <w:lang w:val="en-US" w:eastAsia="zh-CN"/>
              </w:rPr>
              <w:t>81</w:t>
            </w:r>
          </w:p>
        </w:tc>
        <w:tc>
          <w:tcPr>
            <w:tcW w:w="1691" w:type="dxa"/>
            <w:vAlign w:val="center"/>
          </w:tcPr>
          <w:p>
            <w:pPr>
              <w:pStyle w:val="3"/>
              <w:numPr>
                <w:ilvl w:val="0"/>
                <w:numId w:val="0"/>
              </w:numPr>
              <w:tabs>
                <w:tab w:val="clear" w:pos="420"/>
              </w:tabs>
              <w:rPr>
                <w:rFonts w:ascii="仿宋" w:hAnsi="仿宋"/>
                <w:color w:val="auto"/>
                <w:sz w:val="20"/>
                <w:szCs w:val="20"/>
              </w:rPr>
            </w:pPr>
            <w:r>
              <w:rPr>
                <w:rFonts w:hint="eastAsia" w:ascii="仿宋" w:hAnsi="仿宋" w:cs="仿宋"/>
                <w:sz w:val="20"/>
                <w:szCs w:val="20"/>
                <w:u w:val="single"/>
                <w:lang w:val="en-US" w:eastAsia="zh-CN"/>
              </w:rPr>
              <w:t>91</w:t>
            </w:r>
            <w:r>
              <w:rPr>
                <w:rFonts w:hint="eastAsia" w:ascii="仿宋" w:hAnsi="仿宋" w:eastAsia="仿宋" w:cs="仿宋"/>
                <w:sz w:val="20"/>
                <w:szCs w:val="20"/>
                <w:u w:val="single"/>
              </w:rPr>
              <w:t>8,</w:t>
            </w:r>
            <w:r>
              <w:rPr>
                <w:rFonts w:hint="eastAsia" w:ascii="仿宋" w:hAnsi="仿宋" w:cs="仿宋"/>
                <w:sz w:val="20"/>
                <w:szCs w:val="20"/>
                <w:u w:val="single"/>
                <w:lang w:val="en-US" w:eastAsia="zh-CN"/>
              </w:rPr>
              <w:t>915,242</w:t>
            </w:r>
            <w:r>
              <w:rPr>
                <w:rFonts w:hint="eastAsia" w:ascii="仿宋" w:hAnsi="仿宋" w:eastAsia="仿宋" w:cs="仿宋"/>
                <w:sz w:val="20"/>
                <w:szCs w:val="20"/>
                <w:u w:val="single"/>
              </w:rPr>
              <w:t>.</w:t>
            </w:r>
            <w:r>
              <w:rPr>
                <w:rFonts w:hint="eastAsia" w:ascii="仿宋" w:hAnsi="仿宋" w:cs="仿宋"/>
                <w:sz w:val="20"/>
                <w:szCs w:val="20"/>
                <w:u w:val="single"/>
                <w:lang w:val="en-US" w:eastAsia="zh-CN"/>
              </w:rPr>
              <w:t>62</w:t>
            </w:r>
          </w:p>
        </w:tc>
        <w:tc>
          <w:tcPr>
            <w:tcW w:w="3681" w:type="dxa"/>
            <w:vAlign w:val="center"/>
          </w:tcPr>
          <w:p>
            <w:pPr>
              <w:pStyle w:val="3"/>
              <w:numPr>
                <w:ilvl w:val="0"/>
                <w:numId w:val="0"/>
              </w:numPr>
              <w:tabs>
                <w:tab w:val="clear" w:pos="420"/>
              </w:tabs>
              <w:jc w:val="left"/>
              <w:rPr>
                <w:rFonts w:hint="eastAsia" w:ascii="仿宋" w:hAnsi="仿宋" w:cs="宋体"/>
                <w:color w:val="000000"/>
                <w:kern w:val="0"/>
                <w:sz w:val="20"/>
                <w:szCs w:val="20"/>
              </w:rPr>
            </w:pPr>
            <w:r>
              <w:rPr>
                <w:rFonts w:hint="eastAsia" w:ascii="仿宋" w:hAnsi="仿宋" w:eastAsia="仿宋" w:cs="宋体"/>
                <w:b/>
                <w:bCs/>
                <w:kern w:val="0"/>
                <w:sz w:val="20"/>
                <w:szCs w:val="20"/>
                <w:lang w:val="en-US" w:eastAsia="zh-CN"/>
              </w:rPr>
              <w:t>金额</w:t>
            </w:r>
            <w:r>
              <w:rPr>
                <w:rFonts w:hint="eastAsia" w:ascii="仿宋" w:hAnsi="仿宋" w:eastAsia="仿宋" w:cs="宋体"/>
                <w:b/>
                <w:bCs/>
                <w:kern w:val="0"/>
                <w:sz w:val="20"/>
                <w:szCs w:val="20"/>
              </w:rPr>
              <w:t>计算基准</w:t>
            </w:r>
            <w:r>
              <w:rPr>
                <w:rFonts w:hint="eastAsia" w:ascii="仿宋" w:hAnsi="仿宋" w:cs="宋体"/>
                <w:b/>
                <w:bCs/>
                <w:kern w:val="0"/>
                <w:sz w:val="20"/>
                <w:szCs w:val="20"/>
                <w:lang w:val="en-US" w:eastAsia="zh-CN"/>
              </w:rPr>
              <w:t>日</w:t>
            </w:r>
            <w:r>
              <w:rPr>
                <w:rFonts w:hint="eastAsia" w:ascii="仿宋" w:hAnsi="仿宋" w:eastAsia="仿宋" w:cs="宋体"/>
                <w:b/>
                <w:bCs/>
                <w:kern w:val="0"/>
                <w:sz w:val="20"/>
                <w:szCs w:val="20"/>
              </w:rPr>
              <w:t>为202</w:t>
            </w:r>
            <w:r>
              <w:rPr>
                <w:rFonts w:hint="eastAsia" w:ascii="仿宋" w:hAnsi="仿宋" w:cs="宋体"/>
                <w:b/>
                <w:bCs/>
                <w:kern w:val="0"/>
                <w:sz w:val="20"/>
                <w:szCs w:val="20"/>
                <w:lang w:val="en-US" w:eastAsia="zh-CN"/>
              </w:rPr>
              <w:t>5</w:t>
            </w:r>
            <w:r>
              <w:rPr>
                <w:rFonts w:hint="eastAsia" w:ascii="仿宋" w:hAnsi="仿宋" w:eastAsia="仿宋" w:cs="宋体"/>
                <w:b/>
                <w:bCs/>
                <w:kern w:val="0"/>
                <w:sz w:val="20"/>
                <w:szCs w:val="20"/>
              </w:rPr>
              <w:t>年</w:t>
            </w:r>
            <w:r>
              <w:rPr>
                <w:rFonts w:hint="eastAsia" w:ascii="仿宋" w:hAnsi="仿宋" w:cs="宋体"/>
                <w:b/>
                <w:bCs/>
                <w:kern w:val="0"/>
                <w:sz w:val="20"/>
                <w:szCs w:val="20"/>
                <w:lang w:val="en-US" w:eastAsia="zh-CN"/>
              </w:rPr>
              <w:t>3</w:t>
            </w:r>
            <w:r>
              <w:rPr>
                <w:rFonts w:hint="eastAsia" w:ascii="仿宋" w:hAnsi="仿宋" w:eastAsia="仿宋" w:cs="宋体"/>
                <w:b/>
                <w:bCs/>
                <w:kern w:val="0"/>
                <w:sz w:val="20"/>
                <w:szCs w:val="20"/>
              </w:rPr>
              <w:t>月</w:t>
            </w:r>
            <w:r>
              <w:rPr>
                <w:rFonts w:hint="eastAsia" w:ascii="仿宋" w:hAnsi="仿宋" w:eastAsia="仿宋" w:cs="宋体"/>
                <w:b/>
                <w:bCs/>
                <w:kern w:val="0"/>
                <w:sz w:val="20"/>
                <w:szCs w:val="20"/>
                <w:lang w:val="en-US" w:eastAsia="zh-CN"/>
              </w:rPr>
              <w:t>31</w:t>
            </w:r>
            <w:r>
              <w:rPr>
                <w:rFonts w:hint="eastAsia" w:ascii="仿宋" w:hAnsi="仿宋" w:eastAsia="仿宋" w:cs="宋体"/>
                <w:b/>
                <w:bCs/>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rPr>
                <w:rFonts w:ascii="仿宋" w:hAnsi="仿宋"/>
                <w:color w:val="auto"/>
              </w:rPr>
            </w:pPr>
          </w:p>
        </w:tc>
        <w:tc>
          <w:tcPr>
            <w:tcW w:w="1715" w:type="dxa"/>
            <w:vAlign w:val="center"/>
          </w:tcPr>
          <w:p>
            <w:pPr>
              <w:pStyle w:val="3"/>
              <w:numPr>
                <w:ilvl w:val="0"/>
                <w:numId w:val="0"/>
              </w:numPr>
              <w:tabs>
                <w:tab w:val="clear" w:pos="420"/>
              </w:tabs>
              <w:rPr>
                <w:rFonts w:ascii="仿宋" w:hAnsi="仿宋"/>
                <w:color w:val="auto"/>
              </w:rPr>
            </w:pPr>
          </w:p>
        </w:tc>
        <w:tc>
          <w:tcPr>
            <w:tcW w:w="1724" w:type="dxa"/>
            <w:vAlign w:val="center"/>
          </w:tcPr>
          <w:p>
            <w:pPr>
              <w:pStyle w:val="3"/>
              <w:numPr>
                <w:ilvl w:val="0"/>
                <w:numId w:val="0"/>
              </w:numPr>
              <w:tabs>
                <w:tab w:val="clear" w:pos="420"/>
              </w:tabs>
              <w:rPr>
                <w:rFonts w:ascii="仿宋" w:hAnsi="仿宋"/>
                <w:color w:val="auto"/>
              </w:rPr>
            </w:pPr>
          </w:p>
        </w:tc>
        <w:tc>
          <w:tcPr>
            <w:tcW w:w="1691" w:type="dxa"/>
            <w:vAlign w:val="center"/>
          </w:tcPr>
          <w:p>
            <w:pPr>
              <w:pStyle w:val="3"/>
              <w:numPr>
                <w:ilvl w:val="0"/>
                <w:numId w:val="0"/>
              </w:numPr>
              <w:tabs>
                <w:tab w:val="clear" w:pos="420"/>
              </w:tabs>
              <w:rPr>
                <w:rFonts w:ascii="仿宋" w:hAnsi="仿宋"/>
                <w:color w:val="auto"/>
              </w:rPr>
            </w:pPr>
          </w:p>
        </w:tc>
        <w:tc>
          <w:tcPr>
            <w:tcW w:w="3681" w:type="dxa"/>
            <w:vAlign w:val="center"/>
          </w:tcPr>
          <w:p>
            <w:pPr>
              <w:pStyle w:val="3"/>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rPr>
                <w:rFonts w:ascii="仿宋" w:hAnsi="仿宋"/>
                <w:color w:val="auto"/>
              </w:rPr>
            </w:pPr>
          </w:p>
        </w:tc>
        <w:tc>
          <w:tcPr>
            <w:tcW w:w="1715" w:type="dxa"/>
            <w:vAlign w:val="center"/>
          </w:tcPr>
          <w:p>
            <w:pPr>
              <w:pStyle w:val="3"/>
              <w:numPr>
                <w:ilvl w:val="0"/>
                <w:numId w:val="0"/>
              </w:numPr>
              <w:tabs>
                <w:tab w:val="clear" w:pos="420"/>
              </w:tabs>
              <w:rPr>
                <w:rFonts w:ascii="仿宋" w:hAnsi="仿宋"/>
                <w:color w:val="auto"/>
              </w:rPr>
            </w:pPr>
          </w:p>
        </w:tc>
        <w:tc>
          <w:tcPr>
            <w:tcW w:w="1724" w:type="dxa"/>
            <w:vAlign w:val="center"/>
          </w:tcPr>
          <w:p>
            <w:pPr>
              <w:pStyle w:val="3"/>
              <w:numPr>
                <w:ilvl w:val="0"/>
                <w:numId w:val="0"/>
              </w:numPr>
              <w:tabs>
                <w:tab w:val="clear" w:pos="420"/>
              </w:tabs>
              <w:rPr>
                <w:rFonts w:ascii="仿宋" w:hAnsi="仿宋"/>
                <w:color w:val="auto"/>
              </w:rPr>
            </w:pPr>
          </w:p>
        </w:tc>
        <w:tc>
          <w:tcPr>
            <w:tcW w:w="1691" w:type="dxa"/>
            <w:vAlign w:val="center"/>
          </w:tcPr>
          <w:p>
            <w:pPr>
              <w:pStyle w:val="3"/>
              <w:numPr>
                <w:ilvl w:val="0"/>
                <w:numId w:val="0"/>
              </w:numPr>
              <w:tabs>
                <w:tab w:val="clear" w:pos="420"/>
              </w:tabs>
              <w:rPr>
                <w:rFonts w:ascii="仿宋" w:hAnsi="仿宋"/>
                <w:color w:val="auto"/>
              </w:rPr>
            </w:pPr>
          </w:p>
        </w:tc>
        <w:tc>
          <w:tcPr>
            <w:tcW w:w="3681" w:type="dxa"/>
            <w:vAlign w:val="center"/>
          </w:tcPr>
          <w:p>
            <w:pPr>
              <w:pStyle w:val="3"/>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rPr>
                <w:rFonts w:ascii="仿宋" w:hAnsi="仿宋"/>
                <w:color w:val="auto"/>
              </w:rPr>
            </w:pPr>
          </w:p>
        </w:tc>
        <w:tc>
          <w:tcPr>
            <w:tcW w:w="1715" w:type="dxa"/>
            <w:vAlign w:val="center"/>
          </w:tcPr>
          <w:p>
            <w:pPr>
              <w:pStyle w:val="3"/>
              <w:numPr>
                <w:ilvl w:val="0"/>
                <w:numId w:val="0"/>
              </w:numPr>
              <w:tabs>
                <w:tab w:val="clear" w:pos="420"/>
              </w:tabs>
              <w:rPr>
                <w:rFonts w:ascii="仿宋" w:hAnsi="仿宋"/>
                <w:color w:val="auto"/>
              </w:rPr>
            </w:pPr>
          </w:p>
        </w:tc>
        <w:tc>
          <w:tcPr>
            <w:tcW w:w="1724" w:type="dxa"/>
            <w:vAlign w:val="center"/>
          </w:tcPr>
          <w:p>
            <w:pPr>
              <w:pStyle w:val="3"/>
              <w:numPr>
                <w:ilvl w:val="0"/>
                <w:numId w:val="0"/>
              </w:numPr>
              <w:tabs>
                <w:tab w:val="clear" w:pos="420"/>
              </w:tabs>
              <w:rPr>
                <w:rFonts w:ascii="仿宋" w:hAnsi="仿宋"/>
                <w:color w:val="auto"/>
              </w:rPr>
            </w:pPr>
          </w:p>
        </w:tc>
        <w:tc>
          <w:tcPr>
            <w:tcW w:w="1691" w:type="dxa"/>
            <w:vAlign w:val="center"/>
          </w:tcPr>
          <w:p>
            <w:pPr>
              <w:pStyle w:val="3"/>
              <w:numPr>
                <w:ilvl w:val="0"/>
                <w:numId w:val="0"/>
              </w:numPr>
              <w:tabs>
                <w:tab w:val="clear" w:pos="420"/>
              </w:tabs>
              <w:rPr>
                <w:rFonts w:ascii="仿宋" w:hAnsi="仿宋"/>
                <w:color w:val="auto"/>
              </w:rPr>
            </w:pPr>
          </w:p>
        </w:tc>
        <w:tc>
          <w:tcPr>
            <w:tcW w:w="3681" w:type="dxa"/>
            <w:vAlign w:val="center"/>
          </w:tcPr>
          <w:p>
            <w:pPr>
              <w:pStyle w:val="3"/>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rPr>
                <w:rFonts w:ascii="仿宋" w:hAnsi="仿宋"/>
                <w:color w:val="auto"/>
              </w:rPr>
            </w:pPr>
          </w:p>
        </w:tc>
        <w:tc>
          <w:tcPr>
            <w:tcW w:w="1715" w:type="dxa"/>
            <w:vAlign w:val="center"/>
          </w:tcPr>
          <w:p>
            <w:pPr>
              <w:pStyle w:val="3"/>
              <w:numPr>
                <w:ilvl w:val="0"/>
                <w:numId w:val="0"/>
              </w:numPr>
              <w:tabs>
                <w:tab w:val="clear" w:pos="420"/>
              </w:tabs>
              <w:rPr>
                <w:rFonts w:ascii="仿宋" w:hAnsi="仿宋"/>
                <w:color w:val="auto"/>
              </w:rPr>
            </w:pPr>
          </w:p>
        </w:tc>
        <w:tc>
          <w:tcPr>
            <w:tcW w:w="1724" w:type="dxa"/>
            <w:vAlign w:val="center"/>
          </w:tcPr>
          <w:p>
            <w:pPr>
              <w:pStyle w:val="3"/>
              <w:numPr>
                <w:ilvl w:val="0"/>
                <w:numId w:val="0"/>
              </w:numPr>
              <w:tabs>
                <w:tab w:val="clear" w:pos="420"/>
              </w:tabs>
              <w:rPr>
                <w:rFonts w:ascii="仿宋" w:hAnsi="仿宋"/>
                <w:color w:val="auto"/>
              </w:rPr>
            </w:pPr>
          </w:p>
        </w:tc>
        <w:tc>
          <w:tcPr>
            <w:tcW w:w="1691" w:type="dxa"/>
            <w:vAlign w:val="center"/>
          </w:tcPr>
          <w:p>
            <w:pPr>
              <w:pStyle w:val="3"/>
              <w:numPr>
                <w:ilvl w:val="0"/>
                <w:numId w:val="0"/>
              </w:numPr>
              <w:tabs>
                <w:tab w:val="clear" w:pos="420"/>
              </w:tabs>
              <w:rPr>
                <w:rFonts w:ascii="仿宋" w:hAnsi="仿宋"/>
                <w:color w:val="auto"/>
              </w:rPr>
            </w:pPr>
          </w:p>
        </w:tc>
        <w:tc>
          <w:tcPr>
            <w:tcW w:w="3681" w:type="dxa"/>
            <w:vAlign w:val="center"/>
          </w:tcPr>
          <w:p>
            <w:pPr>
              <w:pStyle w:val="3"/>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rPr>
                <w:rFonts w:ascii="仿宋" w:hAnsi="仿宋"/>
                <w:color w:val="auto"/>
              </w:rPr>
            </w:pPr>
          </w:p>
        </w:tc>
        <w:tc>
          <w:tcPr>
            <w:tcW w:w="1715" w:type="dxa"/>
            <w:vAlign w:val="center"/>
          </w:tcPr>
          <w:p>
            <w:pPr>
              <w:pStyle w:val="3"/>
              <w:numPr>
                <w:ilvl w:val="0"/>
                <w:numId w:val="0"/>
              </w:numPr>
              <w:tabs>
                <w:tab w:val="clear" w:pos="420"/>
              </w:tabs>
              <w:rPr>
                <w:rFonts w:ascii="仿宋" w:hAnsi="仿宋"/>
                <w:color w:val="auto"/>
              </w:rPr>
            </w:pPr>
          </w:p>
        </w:tc>
        <w:tc>
          <w:tcPr>
            <w:tcW w:w="1724" w:type="dxa"/>
            <w:vAlign w:val="center"/>
          </w:tcPr>
          <w:p>
            <w:pPr>
              <w:pStyle w:val="3"/>
              <w:numPr>
                <w:ilvl w:val="0"/>
                <w:numId w:val="0"/>
              </w:numPr>
              <w:tabs>
                <w:tab w:val="clear" w:pos="420"/>
              </w:tabs>
              <w:rPr>
                <w:rFonts w:ascii="仿宋" w:hAnsi="仿宋"/>
                <w:color w:val="auto"/>
              </w:rPr>
            </w:pPr>
          </w:p>
        </w:tc>
        <w:tc>
          <w:tcPr>
            <w:tcW w:w="1691" w:type="dxa"/>
            <w:vAlign w:val="center"/>
          </w:tcPr>
          <w:p>
            <w:pPr>
              <w:pStyle w:val="3"/>
              <w:numPr>
                <w:ilvl w:val="0"/>
                <w:numId w:val="0"/>
              </w:numPr>
              <w:tabs>
                <w:tab w:val="clear" w:pos="420"/>
              </w:tabs>
              <w:rPr>
                <w:rFonts w:ascii="仿宋" w:hAnsi="仿宋"/>
                <w:color w:val="auto"/>
              </w:rPr>
            </w:pPr>
          </w:p>
        </w:tc>
        <w:tc>
          <w:tcPr>
            <w:tcW w:w="3681" w:type="dxa"/>
            <w:vAlign w:val="center"/>
          </w:tcPr>
          <w:p>
            <w:pPr>
              <w:pStyle w:val="3"/>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rPr>
                <w:rFonts w:ascii="仿宋" w:hAnsi="仿宋"/>
                <w:color w:val="auto"/>
              </w:rPr>
            </w:pPr>
          </w:p>
        </w:tc>
        <w:tc>
          <w:tcPr>
            <w:tcW w:w="1715" w:type="dxa"/>
            <w:vAlign w:val="center"/>
          </w:tcPr>
          <w:p>
            <w:pPr>
              <w:pStyle w:val="3"/>
              <w:numPr>
                <w:ilvl w:val="0"/>
                <w:numId w:val="0"/>
              </w:numPr>
              <w:tabs>
                <w:tab w:val="clear" w:pos="420"/>
              </w:tabs>
              <w:rPr>
                <w:rFonts w:ascii="仿宋" w:hAnsi="仿宋"/>
                <w:color w:val="auto"/>
              </w:rPr>
            </w:pPr>
          </w:p>
        </w:tc>
        <w:tc>
          <w:tcPr>
            <w:tcW w:w="1724" w:type="dxa"/>
            <w:vAlign w:val="center"/>
          </w:tcPr>
          <w:p>
            <w:pPr>
              <w:pStyle w:val="3"/>
              <w:numPr>
                <w:ilvl w:val="0"/>
                <w:numId w:val="0"/>
              </w:numPr>
              <w:tabs>
                <w:tab w:val="clear" w:pos="420"/>
              </w:tabs>
              <w:rPr>
                <w:rFonts w:ascii="仿宋" w:hAnsi="仿宋"/>
                <w:color w:val="auto"/>
              </w:rPr>
            </w:pPr>
          </w:p>
        </w:tc>
        <w:tc>
          <w:tcPr>
            <w:tcW w:w="1691" w:type="dxa"/>
            <w:vAlign w:val="center"/>
          </w:tcPr>
          <w:p>
            <w:pPr>
              <w:pStyle w:val="3"/>
              <w:numPr>
                <w:ilvl w:val="0"/>
                <w:numId w:val="0"/>
              </w:numPr>
              <w:tabs>
                <w:tab w:val="clear" w:pos="420"/>
              </w:tabs>
              <w:rPr>
                <w:rFonts w:ascii="仿宋" w:hAnsi="仿宋"/>
                <w:color w:val="auto"/>
              </w:rPr>
            </w:pPr>
          </w:p>
        </w:tc>
        <w:tc>
          <w:tcPr>
            <w:tcW w:w="3681" w:type="dxa"/>
            <w:vAlign w:val="center"/>
          </w:tcPr>
          <w:p>
            <w:pPr>
              <w:pStyle w:val="3"/>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dxa"/>
            <w:vAlign w:val="center"/>
          </w:tcPr>
          <w:p>
            <w:pPr>
              <w:pStyle w:val="3"/>
              <w:numPr>
                <w:ilvl w:val="0"/>
                <w:numId w:val="0"/>
              </w:numPr>
              <w:tabs>
                <w:tab w:val="clear" w:pos="420"/>
              </w:tabs>
              <w:rPr>
                <w:rFonts w:ascii="仿宋" w:hAnsi="仿宋"/>
                <w:color w:val="auto"/>
              </w:rPr>
            </w:pPr>
            <w:r>
              <w:rPr>
                <w:rFonts w:hint="eastAsia" w:ascii="仿宋" w:hAnsi="仿宋"/>
                <w:color w:val="auto"/>
                <w:lang w:val="en-US" w:eastAsia="zh-CN"/>
              </w:rPr>
              <w:t>合</w:t>
            </w:r>
            <w:r>
              <w:rPr>
                <w:rFonts w:hint="eastAsia" w:ascii="仿宋" w:hAnsi="仿宋"/>
                <w:color w:val="auto"/>
              </w:rPr>
              <w:t>计</w:t>
            </w:r>
          </w:p>
        </w:tc>
        <w:tc>
          <w:tcPr>
            <w:tcW w:w="3083" w:type="dxa"/>
            <w:vAlign w:val="center"/>
          </w:tcPr>
          <w:p>
            <w:pPr>
              <w:pStyle w:val="3"/>
              <w:numPr>
                <w:ilvl w:val="0"/>
                <w:numId w:val="0"/>
              </w:numPr>
              <w:tabs>
                <w:tab w:val="clear" w:pos="420"/>
              </w:tabs>
              <w:rPr>
                <w:rFonts w:ascii="仿宋" w:hAnsi="仿宋"/>
                <w:color w:val="auto"/>
              </w:rPr>
            </w:pPr>
          </w:p>
        </w:tc>
        <w:tc>
          <w:tcPr>
            <w:tcW w:w="1512" w:type="dxa"/>
            <w:vAlign w:val="center"/>
          </w:tcPr>
          <w:p>
            <w:pPr>
              <w:pStyle w:val="3"/>
              <w:numPr>
                <w:ilvl w:val="0"/>
                <w:numId w:val="0"/>
              </w:numPr>
              <w:tabs>
                <w:tab w:val="clear" w:pos="420"/>
              </w:tabs>
              <w:ind w:left="0" w:leftChars="0" w:firstLine="0" w:firstLineChars="0"/>
              <w:rPr>
                <w:rFonts w:hint="default" w:ascii="仿宋" w:hAnsi="仿宋" w:eastAsia="仿宋" w:cs="Times New Roman"/>
                <w:b/>
                <w:bCs/>
                <w:color w:val="auto"/>
                <w:kern w:val="2"/>
                <w:sz w:val="20"/>
                <w:szCs w:val="20"/>
                <w:lang w:val="en-US" w:eastAsia="zh-CN" w:bidi="ar-SA"/>
              </w:rPr>
            </w:pPr>
            <w:r>
              <w:rPr>
                <w:rFonts w:hint="eastAsia" w:ascii="仿宋" w:hAnsi="仿宋"/>
                <w:color w:val="auto"/>
                <w:sz w:val="20"/>
                <w:szCs w:val="20"/>
                <w:lang w:val="en-US" w:eastAsia="zh-CN"/>
              </w:rPr>
              <w:t>380,000,000</w:t>
            </w:r>
          </w:p>
        </w:tc>
        <w:tc>
          <w:tcPr>
            <w:tcW w:w="1715" w:type="dxa"/>
            <w:vAlign w:val="center"/>
          </w:tcPr>
          <w:p>
            <w:pPr>
              <w:pStyle w:val="3"/>
              <w:numPr>
                <w:ilvl w:val="0"/>
                <w:numId w:val="0"/>
              </w:numPr>
              <w:tabs>
                <w:tab w:val="clear" w:pos="420"/>
              </w:tabs>
              <w:ind w:left="0" w:leftChars="0" w:firstLine="0" w:firstLineChars="0"/>
              <w:rPr>
                <w:rFonts w:ascii="仿宋" w:hAnsi="仿宋" w:eastAsia="仿宋" w:cs="Times New Roman"/>
                <w:b/>
                <w:bCs/>
                <w:color w:val="auto"/>
                <w:kern w:val="2"/>
                <w:sz w:val="20"/>
                <w:szCs w:val="20"/>
                <w:lang w:val="en-US" w:eastAsia="zh-CN" w:bidi="ar-SA"/>
              </w:rPr>
            </w:pPr>
            <w:r>
              <w:rPr>
                <w:rFonts w:hint="eastAsia" w:ascii="仿宋" w:hAnsi="仿宋" w:cs="仿宋"/>
                <w:sz w:val="20"/>
                <w:szCs w:val="20"/>
                <w:u w:val="single"/>
                <w:lang w:val="en-US" w:eastAsia="zh-CN"/>
              </w:rPr>
              <w:t>279</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824</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353</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81</w:t>
            </w:r>
          </w:p>
        </w:tc>
        <w:tc>
          <w:tcPr>
            <w:tcW w:w="1724" w:type="dxa"/>
            <w:vAlign w:val="center"/>
          </w:tcPr>
          <w:p>
            <w:pPr>
              <w:pStyle w:val="3"/>
              <w:numPr>
                <w:ilvl w:val="0"/>
                <w:numId w:val="0"/>
              </w:numPr>
              <w:tabs>
                <w:tab w:val="clear" w:pos="420"/>
              </w:tabs>
              <w:ind w:left="0" w:leftChars="0" w:firstLine="0" w:firstLineChars="0"/>
              <w:rPr>
                <w:rFonts w:ascii="仿宋" w:hAnsi="仿宋" w:eastAsia="仿宋" w:cs="Times New Roman"/>
                <w:b/>
                <w:bCs/>
                <w:color w:val="auto"/>
                <w:kern w:val="2"/>
                <w:sz w:val="20"/>
                <w:szCs w:val="20"/>
                <w:lang w:val="en-US" w:eastAsia="zh-CN" w:bidi="ar-SA"/>
              </w:rPr>
            </w:pPr>
            <w:r>
              <w:rPr>
                <w:rFonts w:hint="eastAsia" w:ascii="仿宋" w:hAnsi="仿宋" w:cs="仿宋"/>
                <w:sz w:val="20"/>
                <w:szCs w:val="20"/>
                <w:u w:val="single"/>
                <w:lang w:val="en-US" w:eastAsia="zh-CN"/>
              </w:rPr>
              <w:t>259</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090</w:t>
            </w:r>
            <w:r>
              <w:rPr>
                <w:rFonts w:hint="eastAsia" w:ascii="仿宋" w:hAnsi="仿宋" w:eastAsia="仿宋" w:cs="仿宋"/>
                <w:sz w:val="20"/>
                <w:szCs w:val="20"/>
                <w:u w:val="single"/>
                <w:lang w:val="en-US" w:eastAsia="zh-CN"/>
              </w:rPr>
              <w:t>,</w:t>
            </w:r>
            <w:r>
              <w:rPr>
                <w:rFonts w:hint="eastAsia" w:ascii="仿宋" w:hAnsi="仿宋" w:cs="仿宋"/>
                <w:sz w:val="20"/>
                <w:szCs w:val="20"/>
                <w:u w:val="single"/>
                <w:lang w:val="en-US" w:eastAsia="zh-CN"/>
              </w:rPr>
              <w:t>88</w:t>
            </w:r>
            <w:r>
              <w:rPr>
                <w:rFonts w:hint="eastAsia" w:ascii="仿宋" w:hAnsi="仿宋" w:eastAsia="仿宋" w:cs="仿宋"/>
                <w:sz w:val="20"/>
                <w:szCs w:val="20"/>
                <w:u w:val="single"/>
                <w:lang w:val="en-US" w:eastAsia="zh-CN"/>
              </w:rPr>
              <w:t>8.</w:t>
            </w:r>
            <w:r>
              <w:rPr>
                <w:rFonts w:hint="eastAsia" w:ascii="仿宋" w:hAnsi="仿宋" w:cs="仿宋"/>
                <w:sz w:val="20"/>
                <w:szCs w:val="20"/>
                <w:u w:val="single"/>
                <w:lang w:val="en-US" w:eastAsia="zh-CN"/>
              </w:rPr>
              <w:t>81</w:t>
            </w:r>
          </w:p>
        </w:tc>
        <w:tc>
          <w:tcPr>
            <w:tcW w:w="1691" w:type="dxa"/>
            <w:vAlign w:val="center"/>
          </w:tcPr>
          <w:p>
            <w:pPr>
              <w:pStyle w:val="3"/>
              <w:numPr>
                <w:ilvl w:val="0"/>
                <w:numId w:val="0"/>
              </w:numPr>
              <w:tabs>
                <w:tab w:val="clear" w:pos="420"/>
              </w:tabs>
              <w:ind w:left="0" w:leftChars="0" w:firstLine="0" w:firstLineChars="0"/>
              <w:rPr>
                <w:rFonts w:ascii="仿宋" w:hAnsi="仿宋" w:eastAsia="仿宋" w:cs="Times New Roman"/>
                <w:b/>
                <w:bCs/>
                <w:color w:val="auto"/>
                <w:kern w:val="2"/>
                <w:sz w:val="20"/>
                <w:szCs w:val="20"/>
                <w:lang w:val="en-US" w:eastAsia="zh-CN" w:bidi="ar-SA"/>
              </w:rPr>
            </w:pPr>
            <w:r>
              <w:rPr>
                <w:rFonts w:hint="eastAsia" w:ascii="仿宋" w:hAnsi="仿宋" w:cs="仿宋"/>
                <w:sz w:val="20"/>
                <w:szCs w:val="20"/>
                <w:u w:val="single"/>
                <w:lang w:val="en-US" w:eastAsia="zh-CN"/>
              </w:rPr>
              <w:t>91</w:t>
            </w:r>
            <w:r>
              <w:rPr>
                <w:rFonts w:hint="eastAsia" w:ascii="仿宋" w:hAnsi="仿宋" w:eastAsia="仿宋" w:cs="仿宋"/>
                <w:sz w:val="20"/>
                <w:szCs w:val="20"/>
                <w:u w:val="single"/>
              </w:rPr>
              <w:t>8,</w:t>
            </w:r>
            <w:r>
              <w:rPr>
                <w:rFonts w:hint="eastAsia" w:ascii="仿宋" w:hAnsi="仿宋" w:cs="仿宋"/>
                <w:sz w:val="20"/>
                <w:szCs w:val="20"/>
                <w:u w:val="single"/>
                <w:lang w:val="en-US" w:eastAsia="zh-CN"/>
              </w:rPr>
              <w:t>915,242</w:t>
            </w:r>
            <w:r>
              <w:rPr>
                <w:rFonts w:hint="eastAsia" w:ascii="仿宋" w:hAnsi="仿宋" w:eastAsia="仿宋" w:cs="仿宋"/>
                <w:sz w:val="20"/>
                <w:szCs w:val="20"/>
                <w:u w:val="single"/>
              </w:rPr>
              <w:t>.</w:t>
            </w:r>
            <w:r>
              <w:rPr>
                <w:rFonts w:hint="eastAsia" w:ascii="仿宋" w:hAnsi="仿宋" w:cs="仿宋"/>
                <w:sz w:val="20"/>
                <w:szCs w:val="20"/>
                <w:u w:val="single"/>
                <w:lang w:val="en-US" w:eastAsia="zh-CN"/>
              </w:rPr>
              <w:t>62</w:t>
            </w:r>
          </w:p>
        </w:tc>
        <w:tc>
          <w:tcPr>
            <w:tcW w:w="3681" w:type="dxa"/>
            <w:vAlign w:val="center"/>
          </w:tcPr>
          <w:p>
            <w:pPr>
              <w:pStyle w:val="3"/>
              <w:numPr>
                <w:ilvl w:val="0"/>
                <w:numId w:val="0"/>
              </w:numPr>
              <w:tabs>
                <w:tab w:val="clear" w:pos="420"/>
              </w:tabs>
              <w:rPr>
                <w:rFonts w:ascii="仿宋" w:hAnsi="仿宋"/>
                <w:color w:val="auto"/>
              </w:rPr>
            </w:pPr>
          </w:p>
        </w:tc>
      </w:tr>
    </w:tbl>
    <w:p>
      <w:pPr>
        <w:pStyle w:val="3"/>
        <w:keepNext w:val="0"/>
        <w:numPr>
          <w:ilvl w:val="0"/>
          <w:numId w:val="0"/>
        </w:numPr>
        <w:tabs>
          <w:tab w:val="clear" w:pos="420"/>
        </w:tabs>
        <w:rPr>
          <w:rFonts w:ascii="仿宋" w:hAnsi="仿宋"/>
          <w:sz w:val="28"/>
          <w:szCs w:val="28"/>
        </w:r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color w:val="000000"/>
        </w:rPr>
      </w:pPr>
      <w:r>
        <w:rPr>
          <w:rFonts w:hint="eastAsia" w:ascii="仿宋" w:hAnsi="仿宋"/>
          <w:b/>
          <w:color w:val="000000"/>
        </w:rPr>
        <w:t>附件二：标的债权证明文件清单</w:t>
      </w:r>
    </w:p>
    <w:p>
      <w:pPr>
        <w:rPr>
          <w:rFonts w:ascii="仿宋" w:hAnsi="仿宋"/>
          <w:color w:val="000000"/>
        </w:rPr>
      </w:pPr>
    </w:p>
    <w:tbl>
      <w:tblPr>
        <w:tblStyle w:val="8"/>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720"/>
        <w:gridCol w:w="108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0" w:type="dxa"/>
            <w:vAlign w:val="center"/>
          </w:tcPr>
          <w:p>
            <w:pPr>
              <w:spacing w:line="360" w:lineRule="auto"/>
              <w:jc w:val="center"/>
              <w:rPr>
                <w:rFonts w:ascii="仿宋" w:hAnsi="仿宋"/>
                <w:b/>
                <w:bCs/>
                <w:color w:val="000000"/>
              </w:rPr>
            </w:pPr>
            <w:r>
              <w:rPr>
                <w:rFonts w:hint="eastAsia" w:ascii="仿宋" w:hAnsi="仿宋"/>
                <w:b/>
                <w:bCs/>
                <w:color w:val="000000"/>
              </w:rPr>
              <w:t>资产文</w:t>
            </w:r>
          </w:p>
          <w:p>
            <w:pPr>
              <w:spacing w:line="360" w:lineRule="auto"/>
              <w:jc w:val="center"/>
              <w:rPr>
                <w:rFonts w:ascii="仿宋" w:hAnsi="仿宋"/>
                <w:b/>
                <w:bCs/>
                <w:color w:val="000000"/>
              </w:rPr>
            </w:pPr>
            <w:r>
              <w:rPr>
                <w:rFonts w:hint="eastAsia" w:ascii="仿宋" w:hAnsi="仿宋"/>
                <w:b/>
                <w:bCs/>
                <w:color w:val="000000"/>
              </w:rPr>
              <w:t>件类别</w:t>
            </w:r>
          </w:p>
        </w:tc>
        <w:tc>
          <w:tcPr>
            <w:tcW w:w="540" w:type="dxa"/>
          </w:tcPr>
          <w:p>
            <w:pPr>
              <w:spacing w:line="360" w:lineRule="auto"/>
              <w:rPr>
                <w:rFonts w:ascii="仿宋" w:hAnsi="仿宋"/>
                <w:b/>
                <w:bCs/>
                <w:color w:val="000000"/>
              </w:rPr>
            </w:pPr>
            <w:r>
              <w:rPr>
                <w:rFonts w:hint="eastAsia" w:ascii="仿宋" w:hAnsi="仿宋"/>
                <w:b/>
                <w:bCs/>
                <w:color w:val="000000"/>
              </w:rPr>
              <w:t>序号</w:t>
            </w:r>
          </w:p>
        </w:tc>
        <w:tc>
          <w:tcPr>
            <w:tcW w:w="2700" w:type="dxa"/>
            <w:vAlign w:val="center"/>
          </w:tcPr>
          <w:p>
            <w:pPr>
              <w:spacing w:line="360" w:lineRule="auto"/>
              <w:jc w:val="center"/>
              <w:rPr>
                <w:rFonts w:ascii="仿宋" w:hAnsi="仿宋"/>
                <w:b/>
                <w:bCs/>
                <w:color w:val="000000"/>
              </w:rPr>
            </w:pPr>
            <w:r>
              <w:rPr>
                <w:rFonts w:hint="eastAsia" w:ascii="仿宋" w:hAnsi="仿宋"/>
                <w:b/>
                <w:bCs/>
                <w:color w:val="000000"/>
              </w:rPr>
              <w:t>资产文件名称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有无</w:t>
            </w:r>
          </w:p>
        </w:tc>
        <w:tc>
          <w:tcPr>
            <w:tcW w:w="900" w:type="dxa"/>
            <w:vAlign w:val="center"/>
          </w:tcPr>
          <w:p>
            <w:pPr>
              <w:spacing w:line="360" w:lineRule="auto"/>
              <w:jc w:val="center"/>
              <w:rPr>
                <w:rFonts w:ascii="仿宋" w:hAnsi="仿宋"/>
                <w:b/>
                <w:bCs/>
                <w:color w:val="000000"/>
              </w:rPr>
            </w:pPr>
            <w:r>
              <w:rPr>
                <w:rFonts w:hint="eastAsia" w:ascii="仿宋" w:hAnsi="仿宋"/>
                <w:b/>
                <w:bCs/>
                <w:color w:val="000000"/>
              </w:rPr>
              <w:t>份数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原件</w:t>
            </w:r>
          </w:p>
        </w:tc>
        <w:tc>
          <w:tcPr>
            <w:tcW w:w="1080" w:type="dxa"/>
            <w:vAlign w:val="center"/>
          </w:tcPr>
          <w:p>
            <w:pPr>
              <w:spacing w:line="360" w:lineRule="auto"/>
              <w:jc w:val="center"/>
              <w:rPr>
                <w:rFonts w:ascii="仿宋" w:hAnsi="仿宋"/>
                <w:b/>
                <w:bCs/>
                <w:color w:val="000000"/>
              </w:rPr>
            </w:pPr>
            <w:r>
              <w:rPr>
                <w:rFonts w:hint="eastAsia" w:ascii="仿宋" w:hAnsi="仿宋"/>
                <w:b/>
                <w:bCs/>
                <w:color w:val="000000"/>
              </w:rPr>
              <w:t>复印件</w:t>
            </w:r>
          </w:p>
        </w:tc>
        <w:tc>
          <w:tcPr>
            <w:tcW w:w="883" w:type="dxa"/>
            <w:vAlign w:val="center"/>
          </w:tcPr>
          <w:p>
            <w:pPr>
              <w:spacing w:line="360" w:lineRule="auto"/>
              <w:jc w:val="center"/>
              <w:rPr>
                <w:rFonts w:ascii="仿宋" w:hAnsi="仿宋"/>
                <w:b/>
                <w:bCs/>
                <w:color w:val="000000"/>
              </w:rPr>
            </w:pPr>
            <w:r>
              <w:rPr>
                <w:rFonts w:hint="eastAsia"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借款人、担保人主体资格材料</w:t>
            </w:r>
          </w:p>
        </w:tc>
        <w:tc>
          <w:tcPr>
            <w:tcW w:w="540" w:type="dxa"/>
            <w:vAlign w:val="center"/>
          </w:tcPr>
          <w:p>
            <w:pPr>
              <w:spacing w:line="360" w:lineRule="auto"/>
              <w:rPr>
                <w:rFonts w:ascii="仿宋" w:hAnsi="仿宋"/>
                <w:color w:val="000000"/>
              </w:rPr>
            </w:pPr>
            <w:r>
              <w:rPr>
                <w:rFonts w:ascii="仿宋" w:hAnsi="仿宋"/>
                <w:color w:val="000000"/>
              </w:rPr>
              <w:t>1</w:t>
            </w:r>
          </w:p>
        </w:tc>
        <w:tc>
          <w:tcPr>
            <w:tcW w:w="2700" w:type="dxa"/>
            <w:vAlign w:val="center"/>
          </w:tcPr>
          <w:p>
            <w:pPr>
              <w:spacing w:line="360" w:lineRule="auto"/>
              <w:rPr>
                <w:rFonts w:ascii="仿宋" w:hAnsi="仿宋"/>
                <w:color w:val="000000"/>
              </w:rPr>
            </w:pPr>
            <w:r>
              <w:rPr>
                <w:rFonts w:hint="eastAsia" w:ascii="仿宋" w:hAnsi="仿宋"/>
                <w:color w:val="000000"/>
              </w:rPr>
              <w:t>企业法人营业执照</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260" w:type="dxa"/>
            <w:vMerge w:val="continue"/>
          </w:tcPr>
          <w:p>
            <w:pPr>
              <w:spacing w:line="360" w:lineRule="auto"/>
              <w:rPr>
                <w:rFonts w:ascii="仿宋" w:hAnsi="仿宋"/>
                <w:b/>
                <w:bCs/>
                <w:color w:val="000000"/>
              </w:rPr>
            </w:pPr>
          </w:p>
        </w:tc>
        <w:tc>
          <w:tcPr>
            <w:tcW w:w="540" w:type="dxa"/>
            <w:vAlign w:val="center"/>
          </w:tcPr>
          <w:p>
            <w:pPr>
              <w:spacing w:line="360" w:lineRule="auto"/>
              <w:rPr>
                <w:rFonts w:ascii="仿宋" w:hAnsi="仿宋"/>
                <w:color w:val="000000"/>
              </w:rPr>
            </w:pPr>
            <w:r>
              <w:rPr>
                <w:rFonts w:ascii="仿宋" w:hAnsi="仿宋"/>
                <w:color w:val="000000"/>
              </w:rPr>
              <w:t>2</w:t>
            </w:r>
          </w:p>
        </w:tc>
        <w:tc>
          <w:tcPr>
            <w:tcW w:w="2700" w:type="dxa"/>
            <w:vAlign w:val="center"/>
          </w:tcPr>
          <w:p>
            <w:pPr>
              <w:spacing w:line="360" w:lineRule="auto"/>
              <w:rPr>
                <w:rFonts w:ascii="仿宋" w:hAnsi="仿宋"/>
                <w:color w:val="000000"/>
              </w:rPr>
            </w:pPr>
            <w:r>
              <w:rPr>
                <w:rFonts w:hint="eastAsia" w:ascii="仿宋" w:hAnsi="仿宋"/>
                <w:color w:val="000000"/>
              </w:rPr>
              <w:t>其他</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借款合同及协议类文</w:t>
            </w:r>
            <w:r>
              <w:rPr>
                <w:rFonts w:ascii="仿宋" w:hAnsi="仿宋"/>
                <w:b/>
                <w:bCs/>
                <w:color w:val="000000"/>
              </w:rPr>
              <w:t xml:space="preserve">    </w:t>
            </w:r>
            <w:r>
              <w:rPr>
                <w:rFonts w:hint="eastAsia" w:ascii="仿宋" w:hAnsi="仿宋"/>
                <w:b/>
                <w:bCs/>
                <w:color w:val="000000"/>
              </w:rPr>
              <w:t>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借款合同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借据</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垫款凭证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其他证明债权债务关系的文件（不含重组文件）</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担保文件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保证合同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抵押合同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抵押物权属证书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抵押权利凭证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5</w:t>
            </w:r>
          </w:p>
        </w:tc>
        <w:tc>
          <w:tcPr>
            <w:tcW w:w="2700" w:type="dxa"/>
          </w:tcPr>
          <w:p>
            <w:pPr>
              <w:spacing w:line="360" w:lineRule="auto"/>
              <w:rPr>
                <w:rFonts w:ascii="仿宋" w:hAnsi="仿宋"/>
                <w:color w:val="000000"/>
              </w:rPr>
            </w:pPr>
            <w:r>
              <w:rPr>
                <w:rFonts w:hint="eastAsia" w:ascii="仿宋" w:hAnsi="仿宋"/>
                <w:color w:val="000000"/>
              </w:rPr>
              <w:t>质押合同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6</w:t>
            </w:r>
          </w:p>
        </w:tc>
        <w:tc>
          <w:tcPr>
            <w:tcW w:w="2700" w:type="dxa"/>
          </w:tcPr>
          <w:p>
            <w:pPr>
              <w:spacing w:line="360" w:lineRule="auto"/>
              <w:rPr>
                <w:rFonts w:ascii="仿宋" w:hAnsi="仿宋"/>
                <w:color w:val="000000"/>
              </w:rPr>
            </w:pPr>
            <w:r>
              <w:rPr>
                <w:rFonts w:hint="eastAsia" w:ascii="仿宋" w:hAnsi="仿宋"/>
                <w:color w:val="000000"/>
              </w:rPr>
              <w:t>质物（权利）权属证书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260" w:type="dxa"/>
            <w:vMerge w:val="continue"/>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质押登记凭证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其他担保文件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催收文件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逾期贷款/债务催收通知书回执</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其他催收文件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债权债务重组文件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分期还款协议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其他重组类文件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诉讼、仲裁、执行及破产类文件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起诉状</w:t>
            </w:r>
            <w:r>
              <w:rPr>
                <w:rFonts w:ascii="仿宋" w:hAnsi="仿宋"/>
                <w:color w:val="000000"/>
              </w:rPr>
              <w:t>/仲裁申请书/支付令申请书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立案通知书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答辩状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上诉状</w:t>
            </w:r>
            <w:r>
              <w:rPr>
                <w:rFonts w:ascii="仿宋" w:hAnsi="仿宋"/>
                <w:color w:val="000000"/>
              </w:rPr>
              <w:t>/再审申请书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判决书</w:t>
            </w:r>
            <w:r>
              <w:rPr>
                <w:rFonts w:ascii="仿宋" w:hAnsi="仿宋"/>
                <w:color w:val="000000"/>
              </w:rPr>
              <w:t>/调解书/仲裁裁决书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9</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10</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中止、终结执行裁定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破产宣告裁定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破产债权申报书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债权转让类文件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260" w:type="dxa"/>
            <w:tcBorders>
              <w:left w:val="single" w:color="auto" w:sz="4" w:space="0"/>
              <w:bottom w:val="single" w:color="auto" w:sz="4" w:space="0"/>
              <w:right w:val="single" w:color="auto" w:sz="4" w:space="0"/>
            </w:tcBorders>
          </w:tcPr>
          <w:p>
            <w:pPr>
              <w:spacing w:line="360" w:lineRule="auto"/>
              <w:rPr>
                <w:rFonts w:ascii="仿宋" w:hAnsi="仿宋"/>
                <w:b/>
                <w:bCs/>
                <w:color w:val="000000"/>
              </w:rPr>
            </w:pPr>
            <w:r>
              <w:rPr>
                <w:rFonts w:hint="eastAsia" w:ascii="仿宋" w:hAnsi="仿宋"/>
                <w:b/>
                <w:bCs/>
                <w:color w:val="000000"/>
              </w:rPr>
              <w:t>其他文件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bl>
    <w:p>
      <w:pPr>
        <w:spacing w:line="360" w:lineRule="auto"/>
        <w:ind w:firstLine="480" w:firstLineChars="200"/>
        <w:rPr>
          <w:rFonts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注：</w:t>
      </w:r>
    </w:p>
    <w:p>
      <w:pPr>
        <w:spacing w:line="360" w:lineRule="auto"/>
        <w:ind w:firstLine="480" w:firstLineChars="200"/>
        <w:rPr>
          <w:rFonts w:ascii="仿宋" w:hAnsi="仿宋"/>
          <w:color w:val="000000"/>
        </w:rPr>
      </w:pPr>
      <w:r>
        <w:rPr>
          <w:rFonts w:ascii="仿宋" w:hAnsi="仿宋"/>
          <w:color w:val="000000"/>
        </w:rPr>
        <w:t>1、同一名称项下存在多份资产文件且部分为复印件的，应在备注中单独说明复印件的名称和数量</w:t>
      </w:r>
      <w:r>
        <w:rPr>
          <w:rFonts w:hint="eastAsia" w:ascii="仿宋" w:hAnsi="仿宋"/>
          <w:color w:val="000000"/>
        </w:rPr>
        <w:t>。</w:t>
      </w:r>
    </w:p>
    <w:p>
      <w:pPr>
        <w:numPr>
          <w:ilvl w:val="255"/>
          <w:numId w:val="0"/>
        </w:numPr>
        <w:spacing w:line="360" w:lineRule="auto"/>
        <w:ind w:firstLine="480" w:firstLineChars="200"/>
        <w:rPr>
          <w:rFonts w:ascii="仿宋" w:hAnsi="仿宋"/>
          <w:color w:val="000000"/>
        </w:rPr>
      </w:pPr>
      <w:r>
        <w:rPr>
          <w:rFonts w:ascii="仿宋" w:hAnsi="仿宋"/>
          <w:color w:val="000000"/>
        </w:rPr>
        <w:t>2、甲方于基准日实际持有的超出本清单范围的材料（如有），可在交割日一并交付给乙方，但该等交付不构成甲方在本协议项下的义务。</w:t>
      </w:r>
    </w:p>
    <w:p>
      <w:pPr>
        <w:spacing w:line="360" w:lineRule="auto"/>
        <w:ind w:firstLine="420"/>
        <w:rPr>
          <w:rFonts w:ascii="仿宋" w:hAnsi="仿宋"/>
          <w:color w:val="000000"/>
        </w:rPr>
      </w:pPr>
      <w:r>
        <w:rPr>
          <w:rFonts w:hint="eastAsia" w:ascii="仿宋" w:hAnsi="仿宋"/>
          <w:color w:val="000000"/>
        </w:rPr>
        <w:t>3、</w:t>
      </w:r>
      <w:r>
        <w:rPr>
          <w:rFonts w:ascii="仿宋" w:hAnsi="仿宋"/>
        </w:rPr>
        <w:t>本</w:t>
      </w:r>
      <w:r>
        <w:rPr>
          <w:rFonts w:hint="eastAsia" w:ascii="仿宋" w:hAnsi="仿宋"/>
        </w:rPr>
        <w:t>附件系甲乙双方对交割清单的样板文本，双方签字盖章行为，仅代表对交割清单样板格式的认可，并非对交割内容的确定和认可。</w:t>
      </w:r>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w:t>
      </w:r>
      <w:bookmarkStart w:id="53" w:name="_Hlk122866592"/>
      <w:r>
        <w:rPr>
          <w:rFonts w:hint="eastAsia" w:ascii="仿宋" w:hAnsi="仿宋"/>
          <w:b/>
        </w:rPr>
        <w:t>标的债权、担保物、抵债财产瑕疵向甲方提起诉讼/仲裁或要求甲方回购该等标的债权或要求甲方承担赔偿责任的权利，特此确认</w:t>
      </w:r>
      <w:bookmarkEnd w:id="53"/>
      <w:r>
        <w:rPr>
          <w:rFonts w:hint="eastAsia" w:ascii="仿宋" w:hAnsi="仿宋"/>
          <w:b/>
        </w:rPr>
        <w:t>。</w:t>
      </w:r>
    </w:p>
    <w:p>
      <w:pPr>
        <w:ind w:firstLine="420"/>
        <w:rPr>
          <w:rFonts w:ascii="仿宋" w:hAnsi="仿宋"/>
          <w:color w:val="000000"/>
        </w:rPr>
      </w:pPr>
    </w:p>
    <w:p>
      <w:pPr>
        <w:ind w:firstLine="420"/>
        <w:rPr>
          <w:rFonts w:ascii="仿宋" w:hAnsi="仿宋"/>
          <w:color w:val="000000"/>
        </w:rPr>
      </w:pPr>
    </w:p>
    <w:p>
      <w:pPr>
        <w:pStyle w:val="2"/>
      </w:pPr>
    </w:p>
    <w:p>
      <w:pPr>
        <w:pStyle w:val="2"/>
      </w:pPr>
    </w:p>
    <w:p>
      <w:pPr>
        <w:spacing w:line="380" w:lineRule="atLeast"/>
        <w:ind w:firstLine="482" w:firstLineChars="200"/>
        <w:rPr>
          <w:rFonts w:ascii="仿宋" w:hAnsi="仿宋"/>
          <w:b/>
          <w:color w:val="000000"/>
        </w:rPr>
      </w:pPr>
      <w:r>
        <w:rPr>
          <w:rFonts w:ascii="仿宋" w:hAnsi="仿宋"/>
          <w:b/>
          <w:color w:val="000000"/>
        </w:rPr>
        <w:t>甲方（盖章）：中国长城资产管理股份有限公司    分公司</w:t>
      </w:r>
    </w:p>
    <w:p>
      <w:pPr>
        <w:pStyle w:val="4"/>
        <w:tabs>
          <w:tab w:val="left" w:pos="980"/>
        </w:tabs>
        <w:spacing w:line="380" w:lineRule="atLeast"/>
        <w:ind w:left="480"/>
        <w:rPr>
          <w:rFonts w:ascii="仿宋" w:hAnsi="仿宋" w:eastAsia="仿宋"/>
          <w:bCs/>
          <w:color w:val="000000"/>
          <w:sz w:val="24"/>
        </w:rPr>
      </w:pP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spacing w:line="380" w:lineRule="atLeast"/>
        <w:ind w:firstLine="482" w:firstLineChars="200"/>
        <w:rPr>
          <w:rFonts w:ascii="仿宋" w:hAnsi="仿宋"/>
          <w:b/>
          <w:color w:val="000000"/>
        </w:rPr>
      </w:pPr>
      <w:r>
        <w:rPr>
          <w:rFonts w:ascii="仿宋" w:hAnsi="仿宋"/>
          <w:b/>
          <w:color w:val="000000"/>
        </w:rPr>
        <w:t xml:space="preserve">乙方（盖章）：               </w:t>
      </w:r>
    </w:p>
    <w:p>
      <w:pPr>
        <w:pStyle w:val="4"/>
        <w:tabs>
          <w:tab w:val="left" w:pos="980"/>
        </w:tabs>
        <w:spacing w:line="380" w:lineRule="atLeast"/>
        <w:ind w:left="480"/>
        <w:rPr>
          <w:rFonts w:ascii="仿宋" w:hAnsi="仿宋" w:eastAsia="仿宋"/>
          <w:bCs/>
          <w:color w:val="000000"/>
          <w:sz w:val="24"/>
        </w:rPr>
      </w:pPr>
    </w:p>
    <w:p>
      <w:pPr>
        <w:ind w:firstLine="470" w:firstLineChars="196"/>
        <w:rPr>
          <w:rFonts w:ascii="仿宋" w:hAnsi="仿宋"/>
          <w:b/>
          <w:color w:val="000000"/>
        </w:rPr>
      </w:pPr>
      <w:r>
        <w:rPr>
          <w:rFonts w:hint="eastAsia" w:ascii="仿宋" w:hAnsi="仿宋"/>
          <w:bCs/>
          <w:color w:val="000000"/>
        </w:rPr>
        <w:t>经办人</w:t>
      </w:r>
      <w:r>
        <w:rPr>
          <w:rFonts w:ascii="仿宋" w:hAnsi="仿宋"/>
          <w:bCs/>
          <w:color w:val="000000"/>
        </w:rPr>
        <w:t xml:space="preserve">（签字）： </w:t>
      </w:r>
    </w:p>
    <w:p>
      <w:pPr>
        <w:rPr>
          <w:rFonts w:ascii="仿宋" w:hAnsi="仿宋"/>
          <w:b/>
          <w:color w:val="000000"/>
        </w:rPr>
      </w:pPr>
    </w:p>
    <w:p>
      <w:pPr>
        <w:pStyle w:val="2"/>
      </w:pPr>
    </w:p>
    <w:p>
      <w:pPr>
        <w:pStyle w:val="2"/>
      </w:pPr>
    </w:p>
    <w:p>
      <w:pPr>
        <w:spacing w:line="360" w:lineRule="auto"/>
        <w:ind w:firstLine="240" w:firstLineChars="1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rPr>
          <w:rFonts w:ascii="仿宋" w:hAnsi="仿宋"/>
          <w:b/>
          <w:color w:val="000000"/>
        </w:rPr>
      </w:pPr>
      <w:r>
        <w:rPr>
          <w:rFonts w:ascii="仿宋" w:hAnsi="仿宋"/>
          <w:b/>
          <w:color w:val="000000"/>
        </w:rPr>
        <w:br w:type="page"/>
      </w:r>
    </w:p>
    <w:p>
      <w:pPr>
        <w:jc w:val="center"/>
        <w:rPr>
          <w:rFonts w:ascii="仿宋" w:hAnsi="仿宋" w:cs="仿宋"/>
        </w:rPr>
      </w:pPr>
      <w:r>
        <w:rPr>
          <w:rFonts w:hint="eastAsia" w:ascii="仿宋" w:hAnsi="仿宋" w:cs="仿宋"/>
          <w:b/>
          <w:bCs/>
        </w:rPr>
        <w:t>附件三：服务协议清单</w:t>
      </w:r>
    </w:p>
    <w:p>
      <w:pPr>
        <w:rPr>
          <w:rFonts w:ascii="仿宋" w:hAnsi="仿宋"/>
          <w:color w:val="000000"/>
        </w:rPr>
      </w:pPr>
    </w:p>
    <w:p>
      <w:pPr>
        <w:rPr>
          <w:rFonts w:ascii="仿宋" w:hAnsi="仿宋"/>
          <w:color w:val="000000"/>
        </w:rPr>
      </w:pPr>
    </w:p>
    <w:tbl>
      <w:tblPr>
        <w:tblStyle w:val="8"/>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center"/>
              <w:rPr>
                <w:rFonts w:ascii="仿宋" w:hAnsi="仿宋"/>
                <w:b/>
                <w:bCs/>
                <w:color w:val="000000"/>
              </w:rPr>
            </w:pPr>
            <w:r>
              <w:rPr>
                <w:rFonts w:hint="eastAsia" w:ascii="仿宋" w:hAnsi="仿宋"/>
                <w:b/>
                <w:bCs/>
                <w:color w:val="000000"/>
              </w:rPr>
              <w:t>序号</w:t>
            </w:r>
          </w:p>
        </w:tc>
        <w:tc>
          <w:tcPr>
            <w:tcW w:w="1260" w:type="dxa"/>
          </w:tcPr>
          <w:p>
            <w:pPr>
              <w:jc w:val="center"/>
              <w:rPr>
                <w:rFonts w:ascii="仿宋" w:hAnsi="仿宋"/>
                <w:b/>
                <w:bCs/>
                <w:color w:val="000000"/>
              </w:rPr>
            </w:pPr>
            <w:r>
              <w:rPr>
                <w:rFonts w:ascii="仿宋" w:hAnsi="仿宋"/>
                <w:b/>
                <w:bCs/>
                <w:color w:val="000000"/>
              </w:rPr>
              <w:t>协议名称</w:t>
            </w:r>
          </w:p>
        </w:tc>
        <w:tc>
          <w:tcPr>
            <w:tcW w:w="1800" w:type="dxa"/>
          </w:tcPr>
          <w:p>
            <w:pPr>
              <w:jc w:val="center"/>
              <w:rPr>
                <w:rFonts w:ascii="仿宋" w:hAnsi="仿宋"/>
                <w:b/>
                <w:bCs/>
                <w:color w:val="000000"/>
              </w:rPr>
            </w:pPr>
            <w:r>
              <w:rPr>
                <w:rFonts w:ascii="仿宋" w:hAnsi="仿宋"/>
                <w:b/>
                <w:bCs/>
                <w:color w:val="000000"/>
              </w:rPr>
              <w:t>中介机构名称</w:t>
            </w:r>
          </w:p>
        </w:tc>
        <w:tc>
          <w:tcPr>
            <w:tcW w:w="1980" w:type="dxa"/>
          </w:tcPr>
          <w:p>
            <w:pPr>
              <w:jc w:val="center"/>
              <w:rPr>
                <w:rFonts w:ascii="仿宋" w:hAnsi="仿宋"/>
                <w:b/>
                <w:bCs/>
                <w:color w:val="000000"/>
              </w:rPr>
            </w:pPr>
            <w:r>
              <w:rPr>
                <w:rFonts w:hint="eastAsia" w:ascii="仿宋" w:hAnsi="仿宋"/>
                <w:b/>
                <w:bCs/>
                <w:color w:val="000000"/>
              </w:rPr>
              <w:t>协议编号或主要内容</w:t>
            </w:r>
          </w:p>
        </w:tc>
        <w:tc>
          <w:tcPr>
            <w:tcW w:w="3060" w:type="dxa"/>
          </w:tcPr>
          <w:p>
            <w:pPr>
              <w:ind w:firstLine="1205" w:firstLineChars="500"/>
              <w:rPr>
                <w:rFonts w:ascii="仿宋" w:hAnsi="仿宋"/>
                <w:b/>
                <w:bCs/>
                <w:color w:val="000000"/>
              </w:rPr>
            </w:pPr>
            <w:r>
              <w:rPr>
                <w:rFonts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bl>
    <w:p>
      <w:pPr>
        <w:pStyle w:val="3"/>
        <w:keepNext w:val="0"/>
        <w:numPr>
          <w:ilvl w:val="0"/>
          <w:numId w:val="0"/>
        </w:numPr>
        <w:tabs>
          <w:tab w:val="clear" w:pos="420"/>
        </w:tabs>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ind w:firstLine="482" w:firstLineChars="200"/>
        <w:rPr>
          <w:rFonts w:ascii="仿宋" w:hAnsi="仿宋"/>
          <w:bCs/>
          <w:color w:val="000000"/>
        </w:rPr>
      </w:pPr>
      <w:r>
        <w:rPr>
          <w:rFonts w:hint="eastAsia"/>
          <w:b/>
          <w:bCs/>
        </w:rPr>
        <w:t>甲方</w:t>
      </w:r>
      <w:r>
        <w:rPr>
          <w:rFonts w:ascii="仿宋" w:hAnsi="仿宋"/>
          <w:b/>
          <w:color w:val="000000"/>
        </w:rPr>
        <w:t>（盖章）</w:t>
      </w:r>
      <w:r>
        <w:rPr>
          <w:rFonts w:hint="eastAsia"/>
          <w:b/>
          <w:bCs/>
        </w:rPr>
        <w:t>：中国长城资产管理股份有限公司</w:t>
      </w:r>
      <w:r>
        <w:rPr>
          <w:b/>
          <w:bCs/>
        </w:rPr>
        <w:t xml:space="preserve">     </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color w:val="000000"/>
          <w:sz w:val="24"/>
        </w:rPr>
        <w:t>（盖章）</w:t>
      </w:r>
      <w:r>
        <w:rPr>
          <w:rFonts w:ascii="仿宋" w:hAnsi="仿宋" w:eastAsia="仿宋"/>
          <w:b/>
          <w:color w:val="000000"/>
          <w:sz w:val="24"/>
        </w:rPr>
        <w:t xml:space="preserve">：       </w:t>
      </w:r>
    </w:p>
    <w:p>
      <w:pPr>
        <w:ind w:firstLine="352" w:firstLineChars="147"/>
        <w:rPr>
          <w:rFonts w:ascii="仿宋" w:hAnsi="仿宋"/>
          <w:bCs/>
          <w:color w:val="000000"/>
        </w:rPr>
      </w:pPr>
      <w:r>
        <w:rPr>
          <w:rFonts w:ascii="仿宋" w:hAnsi="仿宋"/>
          <w:bCs/>
          <w:color w:val="000000"/>
        </w:rPr>
        <w:t xml:space="preserve"> 经办人（签字）：</w:t>
      </w:r>
    </w:p>
    <w:p>
      <w:pPr>
        <w:ind w:firstLine="352" w:firstLineChars="147"/>
        <w:rPr>
          <w:rFonts w:ascii="仿宋" w:hAnsi="仿宋"/>
          <w:bCs/>
          <w:color w:val="000000"/>
        </w:rPr>
      </w:pP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354" w:firstLineChars="147"/>
        <w:rPr>
          <w:rFonts w:ascii="仿宋" w:hAnsi="仿宋"/>
          <w:b/>
          <w:color w:val="000000"/>
        </w:rPr>
      </w:pPr>
    </w:p>
    <w:p>
      <w:pPr>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right="-154" w:firstLine="482" w:firstLineChars="200"/>
        <w:jc w:val="center"/>
        <w:rPr>
          <w:rFonts w:ascii="仿宋" w:hAnsi="仿宋"/>
          <w:b/>
          <w:color w:val="000000"/>
        </w:rPr>
      </w:pPr>
      <w:r>
        <w:rPr>
          <w:rFonts w:hint="eastAsia" w:ascii="仿宋" w:hAnsi="仿宋"/>
          <w:b/>
          <w:color w:val="000000"/>
        </w:rPr>
        <w:t>附件四：回收及费用结算明细表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color w:val="000000"/>
        </w:rPr>
      </w:pPr>
      <w:r>
        <w:rPr>
          <w:rFonts w:hint="eastAsia" w:ascii="仿宋" w:hAnsi="仿宋"/>
          <w:b/>
          <w:color w:val="000000"/>
        </w:rPr>
        <w:t>附件五：</w:t>
      </w:r>
      <w:r>
        <w:rPr>
          <w:rFonts w:hint="eastAsia" w:ascii="仿宋" w:hAnsi="仿宋"/>
          <w:b/>
        </w:rPr>
        <w:t>标的债权证明文件及服务协议收据</w:t>
      </w:r>
    </w:p>
    <w:p>
      <w:pPr>
        <w:rPr>
          <w:rFonts w:ascii="仿宋" w:hAnsi="仿宋"/>
          <w:color w:val="000000"/>
        </w:rPr>
      </w:pPr>
    </w:p>
    <w:p>
      <w:pPr>
        <w:spacing w:line="360" w:lineRule="auto"/>
        <w:rPr>
          <w:rFonts w:ascii="仿宋" w:hAnsi="仿宋"/>
          <w:color w:val="000000"/>
        </w:rPr>
      </w:pPr>
    </w:p>
    <w:p>
      <w:pPr>
        <w:spacing w:line="360" w:lineRule="auto"/>
        <w:rPr>
          <w:rFonts w:ascii="仿宋" w:hAnsi="仿宋"/>
          <w:b/>
          <w:bCs/>
          <w:color w:val="000000"/>
        </w:rPr>
      </w:pPr>
      <w:r>
        <w:rPr>
          <w:rFonts w:hint="eastAsia" w:ascii="仿宋" w:hAnsi="仿宋"/>
          <w:b/>
          <w:bCs/>
          <w:color w:val="000000"/>
        </w:rPr>
        <w:t>致：中国长城资产管理股份有限公司</w:t>
      </w:r>
      <w:r>
        <w:rPr>
          <w:rFonts w:ascii="仿宋" w:hAnsi="仿宋"/>
          <w:b/>
          <w:bCs/>
          <w:color w:val="000000"/>
        </w:rPr>
        <w:t xml:space="preserve">    </w:t>
      </w:r>
      <w:r>
        <w:rPr>
          <w:rFonts w:hint="eastAsia" w:ascii="仿宋" w:hAnsi="仿宋"/>
          <w:b/>
          <w:bCs/>
          <w:color w:val="000000"/>
        </w:rPr>
        <w:t>分公司</w:t>
      </w:r>
    </w:p>
    <w:p>
      <w:pPr>
        <w:spacing w:line="360" w:lineRule="auto"/>
        <w:rPr>
          <w:rFonts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w:t>
      </w:r>
      <w:r>
        <w:rPr>
          <w:rFonts w:ascii="仿宋" w:hAnsi="仿宋"/>
          <w:color w:val="000000"/>
        </w:rPr>
        <w:t xml:space="preserve">    </w:t>
      </w:r>
      <w:r>
        <w:rPr>
          <w:rFonts w:hint="eastAsia" w:ascii="仿宋" w:hAnsi="仿宋"/>
          <w:color w:val="000000"/>
        </w:rPr>
        <w:t>分公司与</w:t>
      </w:r>
      <w:r>
        <w:rPr>
          <w:rFonts w:ascii="仿宋" w:hAnsi="仿宋"/>
          <w:color w:val="000000"/>
        </w:rPr>
        <w:t xml:space="preserve">     </w:t>
      </w:r>
      <w:r>
        <w:rPr>
          <w:rFonts w:hint="eastAsia" w:ascii="仿宋" w:hAnsi="仿宋"/>
          <w:color w:val="000000"/>
        </w:rPr>
        <w:t>（乙方名称）     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日签订的</w:t>
      </w:r>
      <w:r>
        <w:rPr>
          <w:rFonts w:hint="eastAsia" w:ascii="仿宋" w:hAnsi="仿宋"/>
          <w:color w:val="000000"/>
        </w:rPr>
        <w:t xml:space="preserve">编号为 </w:t>
      </w:r>
      <w:r>
        <w:rPr>
          <w:rFonts w:ascii="仿宋" w:hAnsi="仿宋"/>
          <w:color w:val="000000"/>
        </w:rPr>
        <w:t xml:space="preserve">       </w:t>
      </w:r>
      <w:r>
        <w:rPr>
          <w:rFonts w:hint="eastAsia" w:ascii="仿宋" w:hAnsi="仿宋"/>
          <w:color w:val="000000"/>
        </w:rPr>
        <w:t>号</w:t>
      </w:r>
      <w:r>
        <w:rPr>
          <w:rFonts w:ascii="仿宋" w:hAnsi="仿宋"/>
          <w:color w:val="000000"/>
        </w:rPr>
        <w:t>《</w:t>
      </w:r>
      <w:r>
        <w:rPr>
          <w:rFonts w:hint="eastAsia" w:ascii="仿宋" w:hAnsi="仿宋"/>
          <w:color w:val="000000"/>
        </w:rPr>
        <w:t>中国长城资产管理股份有限公   司</w:t>
      </w:r>
      <w:r>
        <w:rPr>
          <w:rFonts w:ascii="仿宋" w:hAnsi="仿宋"/>
          <w:color w:val="000000"/>
        </w:rPr>
        <w:t xml:space="preserve">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w:t>
      </w:r>
      <w:r>
        <w:rPr>
          <w:rFonts w:ascii="仿宋" w:hAnsi="仿宋"/>
          <w:color w:val="000000"/>
        </w:rPr>
        <w:t xml:space="preserve">    </w:t>
      </w:r>
      <w:r>
        <w:rPr>
          <w:rFonts w:hint="eastAsia" w:ascii="仿宋" w:hAnsi="仿宋"/>
          <w:color w:val="000000"/>
        </w:rPr>
        <w:t>分公司于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   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rPr>
          <w:rFonts w:ascii="仿宋" w:hAnsi="仿宋"/>
          <w:color w:val="000000"/>
        </w:rPr>
      </w:pPr>
    </w:p>
    <w:p>
      <w:pPr>
        <w:spacing w:line="360" w:lineRule="auto"/>
        <w:ind w:firstLine="480" w:firstLineChars="200"/>
        <w:rPr>
          <w:rFonts w:ascii="仿宋" w:hAnsi="仿宋"/>
          <w:color w:val="000000"/>
        </w:rPr>
      </w:pPr>
    </w:p>
    <w:p>
      <w:pPr>
        <w:spacing w:line="360" w:lineRule="auto"/>
        <w:ind w:firstLine="3494" w:firstLineChars="1450"/>
        <w:rPr>
          <w:rFonts w:ascii="仿宋" w:hAnsi="仿宋"/>
          <w:b/>
          <w:color w:val="000000"/>
        </w:rPr>
      </w:pPr>
      <w:r>
        <w:rPr>
          <w:rFonts w:hint="eastAsia" w:ascii="仿宋" w:hAnsi="仿宋"/>
          <w:b/>
          <w:color w:val="000000"/>
        </w:rPr>
        <w:t>乙方（盖章）：</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00" w:firstLineChars="1250"/>
        <w:rPr>
          <w:rFonts w:ascii="仿宋" w:hAnsi="仿宋"/>
          <w:bCs/>
          <w:color w:val="000000"/>
        </w:rPr>
      </w:pPr>
    </w:p>
    <w:p>
      <w:pPr>
        <w:spacing w:line="360" w:lineRule="auto"/>
        <w:ind w:firstLine="3460" w:firstLineChars="1442"/>
        <w:rPr>
          <w:rFonts w:ascii="仿宋" w:hAnsi="仿宋"/>
          <w:b/>
          <w:color w:val="000000"/>
        </w:rPr>
      </w:pPr>
      <w:r>
        <w:rPr>
          <w:rFonts w:hint="eastAsia" w:ascii="仿宋" w:hAnsi="仿宋"/>
          <w:bCs/>
          <w:color w:val="000000"/>
        </w:rPr>
        <w:t>经办人（签字）：</w:t>
      </w:r>
      <w:r>
        <w:rPr>
          <w:rFonts w:ascii="仿宋" w:hAnsi="仿宋"/>
          <w:bCs/>
          <w:color w:val="000000"/>
        </w:rPr>
        <w:t xml:space="preserve"> </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12" w:firstLineChars="1250"/>
        <w:rPr>
          <w:rFonts w:ascii="仿宋" w:hAnsi="仿宋"/>
          <w:b/>
          <w:color w:val="000000"/>
        </w:rPr>
      </w:pPr>
    </w:p>
    <w:p>
      <w:pPr>
        <w:spacing w:line="360" w:lineRule="auto"/>
        <w:ind w:firstLine="3720" w:firstLineChars="1550"/>
        <w:rPr>
          <w:rFonts w:ascii="仿宋" w:hAnsi="仿宋"/>
          <w:bCs/>
          <w:color w:val="000000"/>
        </w:rPr>
      </w:pPr>
      <w:r>
        <w:rPr>
          <w:rFonts w:ascii="仿宋" w:hAnsi="仿宋"/>
          <w:bCs/>
          <w:color w:val="000000"/>
        </w:rPr>
        <w:t>年    月    日</w:t>
      </w:r>
    </w:p>
    <w:p>
      <w:pPr>
        <w:rPr>
          <w:rFonts w:ascii="仿宋" w:hAnsi="仿宋"/>
          <w:b/>
          <w:color w:val="000000"/>
        </w:rPr>
      </w:pPr>
      <w:r>
        <w:rPr>
          <w:rFonts w:ascii="仿宋" w:hAnsi="仿宋"/>
          <w:b/>
          <w:color w:val="000000"/>
        </w:rPr>
        <w:br w:type="page"/>
      </w:r>
    </w:p>
    <w:p>
      <w:pPr>
        <w:jc w:val="center"/>
      </w:pPr>
      <w:r>
        <w:rPr>
          <w:rFonts w:hint="eastAsia"/>
          <w:b/>
          <w:bCs/>
        </w:rPr>
        <w:t>附件六：债权转让确认函</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ind w:right="480"/>
        <w:rPr>
          <w:rFonts w:ascii="仿宋" w:hAnsi="仿宋"/>
          <w:b/>
          <w:bCs/>
          <w:color w:val="000000"/>
        </w:rPr>
      </w:pPr>
      <w:r>
        <w:rPr>
          <w:rFonts w:hint="eastAsia" w:ascii="仿宋" w:hAnsi="仿宋"/>
          <w:b/>
          <w:bCs/>
          <w:color w:val="000000"/>
        </w:rPr>
        <w:t>致：</w:t>
      </w:r>
      <w:r>
        <w:rPr>
          <w:rFonts w:ascii="仿宋" w:hAnsi="仿宋"/>
          <w:b/>
          <w:bCs/>
          <w:color w:val="000000"/>
        </w:rPr>
        <w:t xml:space="preserve">     (“受让方”)</w:t>
      </w:r>
    </w:p>
    <w:p>
      <w:pPr>
        <w:spacing w:line="360" w:lineRule="auto"/>
        <w:ind w:firstLine="573"/>
        <w:rPr>
          <w:rFonts w:ascii="仿宋" w:hAnsi="仿宋"/>
          <w:color w:val="000000"/>
        </w:rPr>
      </w:pPr>
    </w:p>
    <w:p>
      <w:pPr>
        <w:spacing w:line="360" w:lineRule="auto"/>
        <w:ind w:firstLine="573"/>
        <w:rPr>
          <w:rFonts w:ascii="仿宋" w:hAnsi="仿宋"/>
          <w:color w:val="000000"/>
        </w:rPr>
      </w:pPr>
      <w:r>
        <w:rPr>
          <w:rFonts w:ascii="仿宋" w:hAnsi="仿宋"/>
          <w:color w:val="000000"/>
        </w:rPr>
        <w:t xml:space="preserve">根据中国长城资产管理股份有限公司    </w:t>
      </w:r>
      <w:r>
        <w:rPr>
          <w:rFonts w:hint="eastAsia" w:ascii="仿宋" w:hAnsi="仿宋"/>
          <w:color w:val="000000"/>
        </w:rPr>
        <w:t>分公司</w:t>
      </w:r>
      <w:r>
        <w:rPr>
          <w:rFonts w:ascii="仿宋" w:hAnsi="仿宋"/>
          <w:color w:val="000000"/>
        </w:rPr>
        <w:t>(“转让方”)</w:t>
      </w:r>
      <w:r>
        <w:rPr>
          <w:rFonts w:hint="eastAsia" w:ascii="仿宋" w:hAnsi="仿宋"/>
          <w:color w:val="000000"/>
        </w:rPr>
        <w:t xml:space="preserve">         </w:t>
      </w:r>
      <w:r>
        <w:rPr>
          <w:rFonts w:ascii="仿宋" w:hAnsi="仿宋"/>
          <w:color w:val="000000"/>
        </w:rPr>
        <w:t xml:space="preserve">与         (“受让方”)于    年     </w:t>
      </w:r>
      <w:r>
        <w:rPr>
          <w:rFonts w:hint="eastAsia" w:ascii="仿宋" w:hAnsi="仿宋"/>
          <w:color w:val="000000"/>
        </w:rPr>
        <w:t>月</w:t>
      </w:r>
      <w:r>
        <w:rPr>
          <w:rFonts w:ascii="仿宋" w:hAnsi="仿宋"/>
          <w:color w:val="000000"/>
        </w:rPr>
        <w:t xml:space="preserve">    日签订的</w:t>
      </w:r>
      <w:r>
        <w:rPr>
          <w:rFonts w:hint="eastAsia" w:ascii="仿宋" w:hAnsi="仿宋"/>
        </w:rPr>
        <w:t xml:space="preserve">编号为 </w:t>
      </w:r>
      <w:r>
        <w:rPr>
          <w:rFonts w:ascii="仿宋" w:hAnsi="仿宋"/>
        </w:rPr>
        <w:t xml:space="preserve">    </w:t>
      </w:r>
      <w:r>
        <w:rPr>
          <w:rFonts w:hint="eastAsia" w:ascii="仿宋" w:hAnsi="仿宋"/>
        </w:rPr>
        <w:t>号《</w:t>
      </w:r>
      <w:r>
        <w:rPr>
          <w:rFonts w:hint="eastAsia" w:ascii="仿宋" w:hAnsi="仿宋"/>
          <w:color w:val="000000"/>
        </w:rPr>
        <w:t>中国长城资产管理股份有限公司</w:t>
      </w:r>
      <w:r>
        <w:rPr>
          <w:rFonts w:ascii="仿宋" w:hAnsi="仿宋"/>
          <w:color w:val="000000"/>
        </w:rPr>
        <w:t xml:space="preserve">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债权转让协议》，“转让方”已经将其于下述</w:t>
      </w:r>
      <w:r>
        <w:rPr>
          <w:rFonts w:hint="eastAsia" w:ascii="仿宋" w:hAnsi="仿宋"/>
          <w:color w:val="000000"/>
        </w:rPr>
        <w:t>标的债权</w:t>
      </w:r>
      <w:r>
        <w:rPr>
          <w:rFonts w:ascii="仿宋" w:hAnsi="仿宋"/>
          <w:color w:val="000000"/>
        </w:rPr>
        <w:t xml:space="preserve">项下拥有的全部权益，于   年   </w:t>
      </w:r>
      <w:r>
        <w:rPr>
          <w:rFonts w:hint="eastAsia" w:ascii="仿宋" w:hAnsi="仿宋"/>
          <w:color w:val="000000"/>
        </w:rPr>
        <w:t>月</w:t>
      </w:r>
      <w:r>
        <w:rPr>
          <w:rFonts w:ascii="仿宋" w:hAnsi="仿宋"/>
          <w:color w:val="000000"/>
        </w:rPr>
        <w:t xml:space="preserve">    日依法转让给“受让方”。</w:t>
      </w:r>
      <w:r>
        <w:rPr>
          <w:rFonts w:hint="eastAsia" w:ascii="仿宋" w:hAnsi="仿宋"/>
          <w:b/>
          <w:bCs/>
          <w:color w:val="000000"/>
        </w:rPr>
        <w:t>（提请分公司注意，该日为标的债权的交割日）</w:t>
      </w:r>
      <w:r>
        <w:rPr>
          <w:rFonts w:ascii="仿宋" w:hAnsi="仿宋"/>
          <w:color w:val="000000"/>
        </w:rPr>
        <w:t>“转让方”特此确认该等</w:t>
      </w:r>
      <w:r>
        <w:rPr>
          <w:rFonts w:hint="eastAsia" w:ascii="仿宋" w:hAnsi="仿宋"/>
          <w:color w:val="000000"/>
        </w:rPr>
        <w:t>标的债权</w:t>
      </w:r>
      <w:r>
        <w:rPr>
          <w:rFonts w:ascii="仿宋" w:hAnsi="仿宋"/>
          <w:color w:val="000000"/>
        </w:rPr>
        <w:t>已向“受让方”转让的事实。</w:t>
      </w:r>
    </w:p>
    <w:p>
      <w:pPr>
        <w:spacing w:line="440" w:lineRule="exact"/>
        <w:rPr>
          <w:rFonts w:ascii="仿宋" w:hAnsi="仿宋"/>
          <w:color w:val="000000"/>
        </w:rPr>
      </w:pP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440"/>
        <w:gridCol w:w="1080"/>
        <w:gridCol w:w="144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00" w:type="dxa"/>
          </w:tcPr>
          <w:p>
            <w:pPr>
              <w:spacing w:line="400" w:lineRule="exact"/>
              <w:ind w:left="-123" w:right="72"/>
              <w:rPr>
                <w:rFonts w:ascii="仿宋" w:hAnsi="仿宋"/>
                <w:b/>
                <w:bCs/>
                <w:color w:val="000000"/>
              </w:rPr>
            </w:pPr>
            <w:r>
              <w:rPr>
                <w:rFonts w:ascii="仿宋" w:hAnsi="仿宋"/>
                <w:b/>
                <w:bCs/>
                <w:color w:val="000000"/>
              </w:rPr>
              <w:t xml:space="preserve"> 序号</w:t>
            </w:r>
          </w:p>
        </w:tc>
        <w:tc>
          <w:tcPr>
            <w:tcW w:w="1080" w:type="dxa"/>
          </w:tcPr>
          <w:p>
            <w:pPr>
              <w:spacing w:line="400" w:lineRule="exact"/>
              <w:rPr>
                <w:rFonts w:ascii="仿宋" w:hAnsi="仿宋"/>
                <w:b/>
                <w:bCs/>
                <w:color w:val="000000"/>
              </w:rPr>
            </w:pPr>
            <w:r>
              <w:rPr>
                <w:rFonts w:ascii="仿宋" w:hAnsi="仿宋"/>
                <w:b/>
                <w:bCs/>
                <w:color w:val="000000"/>
              </w:rPr>
              <w:t>借款人名   称</w:t>
            </w:r>
          </w:p>
        </w:tc>
        <w:tc>
          <w:tcPr>
            <w:tcW w:w="1440" w:type="dxa"/>
          </w:tcPr>
          <w:p>
            <w:pPr>
              <w:spacing w:line="400" w:lineRule="exact"/>
              <w:rPr>
                <w:rFonts w:ascii="仿宋" w:hAnsi="仿宋"/>
                <w:b/>
                <w:bCs/>
                <w:color w:val="000000"/>
              </w:rPr>
            </w:pPr>
            <w:r>
              <w:rPr>
                <w:rFonts w:ascii="仿宋" w:hAnsi="仿宋"/>
                <w:b/>
                <w:bCs/>
                <w:color w:val="000000"/>
              </w:rPr>
              <w:t>借款合同编号(或合同签订时间)</w:t>
            </w:r>
          </w:p>
        </w:tc>
        <w:tc>
          <w:tcPr>
            <w:tcW w:w="1080" w:type="dxa"/>
          </w:tcPr>
          <w:p>
            <w:pPr>
              <w:spacing w:line="400" w:lineRule="exact"/>
              <w:rPr>
                <w:rFonts w:ascii="仿宋" w:hAnsi="仿宋"/>
                <w:b/>
                <w:bCs/>
                <w:color w:val="000000"/>
              </w:rPr>
            </w:pPr>
            <w:r>
              <w:rPr>
                <w:rFonts w:ascii="仿宋" w:hAnsi="仿宋"/>
                <w:b/>
                <w:bCs/>
                <w:color w:val="000000"/>
              </w:rPr>
              <w:t>担保人名   称</w:t>
            </w:r>
          </w:p>
        </w:tc>
        <w:tc>
          <w:tcPr>
            <w:tcW w:w="1440" w:type="dxa"/>
          </w:tcPr>
          <w:p>
            <w:pPr>
              <w:spacing w:line="400" w:lineRule="exact"/>
              <w:rPr>
                <w:rFonts w:ascii="仿宋" w:hAnsi="仿宋"/>
                <w:b/>
                <w:bCs/>
                <w:color w:val="000000"/>
              </w:rPr>
            </w:pPr>
            <w:r>
              <w:rPr>
                <w:rFonts w:ascii="仿宋" w:hAnsi="仿宋"/>
                <w:b/>
                <w:bCs/>
                <w:color w:val="000000"/>
              </w:rPr>
              <w:t>担保合同编号(或合同签订时间)</w:t>
            </w: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b/>
                <w:bCs/>
                <w:color w:val="000000"/>
              </w:rPr>
            </w:pPr>
            <w:r>
              <w:rPr>
                <w:rFonts w:ascii="仿宋" w:hAnsi="仿宋"/>
                <w:b/>
                <w:bCs/>
                <w:color w:val="000000"/>
              </w:rPr>
              <w:t>贷款行</w:t>
            </w: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b/>
                <w:bCs/>
                <w:color w:val="000000"/>
              </w:rPr>
            </w:pPr>
            <w:r>
              <w:rPr>
                <w:rFonts w:hint="eastAsia" w:ascii="仿宋" w:hAnsi="仿宋"/>
                <w:b/>
                <w:bCs/>
                <w:color w:val="000000"/>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bl>
    <w:p>
      <w:pPr>
        <w:spacing w:line="400" w:lineRule="exact"/>
        <w:rPr>
          <w:rFonts w:ascii="仿宋" w:hAnsi="仿宋"/>
          <w:color w:val="000000"/>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
      <w:pPr>
        <w:jc w:val="center"/>
        <w:rPr>
          <w:rFonts w:ascii="仿宋" w:hAnsi="仿宋"/>
        </w:rPr>
      </w:pPr>
      <w:r>
        <w:rPr>
          <w:b/>
          <w:bCs/>
        </w:rPr>
        <w:t xml:space="preserve">                       </w:t>
      </w:r>
      <w:r>
        <w:rPr>
          <w:rFonts w:ascii="仿宋" w:hAnsi="仿宋"/>
          <w:b/>
          <w:bCs/>
        </w:rPr>
        <w:t xml:space="preserve">中国长城资产管理股份有限公司      </w:t>
      </w:r>
      <w:r>
        <w:rPr>
          <w:rFonts w:hint="eastAsia" w:ascii="仿宋" w:hAnsi="仿宋"/>
          <w:b/>
          <w:bCs/>
        </w:rPr>
        <w:t>分公司（盖章）</w:t>
      </w:r>
    </w:p>
    <w:p>
      <w:pPr>
        <w:rPr>
          <w:b/>
          <w:bCs/>
        </w:rPr>
      </w:pPr>
    </w:p>
    <w:p>
      <w:pPr>
        <w:rPr>
          <w:rFonts w:ascii="仿宋" w:hAnsi="仿宋"/>
        </w:rPr>
      </w:pPr>
      <w:r>
        <w:rPr>
          <w:rFonts w:ascii="仿宋" w:hAnsi="仿宋"/>
        </w:rPr>
        <w:t xml:space="preserve">                                         年     月     日 </w:t>
      </w:r>
    </w:p>
    <w:p>
      <w:pPr>
        <w:rPr>
          <w:rFonts w:ascii="仿宋" w:hAnsi="仿宋"/>
        </w:rPr>
      </w:pPr>
      <w:r>
        <w:rPr>
          <w:rFonts w:ascii="仿宋" w:hAnsi="仿宋"/>
        </w:rPr>
        <w:br w:type="page"/>
      </w:r>
    </w:p>
    <w:p>
      <w:pPr>
        <w:jc w:val="center"/>
      </w:pPr>
      <w:r>
        <w:rPr>
          <w:rFonts w:hint="eastAsia"/>
          <w:b/>
          <w:bCs/>
        </w:rPr>
        <w:t>附件七：协议条款说明记录单</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spacing w:line="360" w:lineRule="auto"/>
        <w:ind w:firstLine="573"/>
        <w:rPr>
          <w:rFonts w:ascii="仿宋" w:hAnsi="仿宋"/>
          <w:color w:val="000000"/>
        </w:rPr>
      </w:pPr>
      <w:r>
        <w:rPr>
          <w:rFonts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w:t>
      </w:r>
      <w:r>
        <w:rPr>
          <w:rFonts w:hint="eastAsia" w:ascii="仿宋" w:hAnsi="仿宋"/>
          <w:color w:val="000000"/>
        </w:rPr>
        <w:t>有如下问题需要甲方进行解释说明：</w:t>
      </w:r>
    </w:p>
    <w:p>
      <w:pPr>
        <w:spacing w:line="360" w:lineRule="auto"/>
        <w:ind w:firstLine="573"/>
        <w:rPr>
          <w:rFonts w:ascii="仿宋" w:hAnsi="仿宋"/>
          <w:color w:val="000000"/>
        </w:rPr>
      </w:pPr>
      <w:r>
        <w:rPr>
          <w:rFonts w:ascii="仿宋" w:hAnsi="仿宋"/>
          <w:color w:val="000000"/>
        </w:rPr>
        <w:t xml:space="preserve">1、 </w:t>
      </w:r>
    </w:p>
    <w:p>
      <w:pPr>
        <w:spacing w:line="360" w:lineRule="auto"/>
        <w:ind w:firstLine="573"/>
        <w:rPr>
          <w:rFonts w:ascii="仿宋" w:hAnsi="仿宋"/>
          <w:color w:val="000000"/>
          <w:lang w:eastAsia="zh-Hans"/>
        </w:rPr>
      </w:pPr>
      <w:r>
        <w:rPr>
          <w:rFonts w:ascii="仿宋" w:hAnsi="仿宋"/>
          <w:color w:val="000000"/>
        </w:rPr>
        <w:t>2、</w:t>
      </w:r>
    </w:p>
    <w:p>
      <w:pPr>
        <w:spacing w:line="360" w:lineRule="auto"/>
        <w:ind w:firstLine="573"/>
        <w:rPr>
          <w:rFonts w:ascii="仿宋" w:hAnsi="仿宋"/>
          <w:color w:val="000000"/>
        </w:rPr>
      </w:pPr>
      <w:r>
        <w:rPr>
          <w:rFonts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spacing w:line="360" w:lineRule="auto"/>
        <w:ind w:firstLine="573"/>
        <w:rPr>
          <w:rFonts w:ascii="仿宋" w:hAnsi="仿宋"/>
          <w:color w:val="000000"/>
        </w:rPr>
      </w:pPr>
    </w:p>
    <w:p>
      <w:pPr>
        <w:spacing w:line="380" w:lineRule="atLeast"/>
        <w:outlineLvl w:val="0"/>
        <w:rPr>
          <w:rFonts w:ascii="仿宋" w:hAnsi="仿宋"/>
          <w:b/>
          <w:color w:val="000000"/>
        </w:rPr>
      </w:pPr>
    </w:p>
    <w:p>
      <w:pPr>
        <w:ind w:firstLine="482" w:firstLineChars="200"/>
        <w:rPr>
          <w:rFonts w:ascii="仿宋" w:hAnsi="仿宋"/>
          <w:b/>
          <w:color w:val="000000"/>
        </w:rPr>
      </w:pPr>
      <w:r>
        <w:rPr>
          <w:rFonts w:hint="eastAsia"/>
          <w:b/>
          <w:bCs/>
        </w:rPr>
        <w:t>甲方（盖章）：中国长城资产管理股份有限公司</w:t>
      </w:r>
      <w:r>
        <w:rPr>
          <w:b/>
          <w:bCs/>
        </w:rPr>
        <w:t xml:space="preserve">    </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bCs/>
          <w:color w:val="000000"/>
          <w:sz w:val="24"/>
        </w:rPr>
        <w:t>（盖章）</w:t>
      </w:r>
      <w:r>
        <w:rPr>
          <w:rFonts w:ascii="仿宋" w:hAnsi="仿宋" w:eastAsia="仿宋"/>
          <w:b/>
          <w:color w:val="000000"/>
          <w:sz w:val="24"/>
        </w:rPr>
        <w:t xml:space="preserve">： </w:t>
      </w: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spacing w:line="360" w:lineRule="auto"/>
        <w:ind w:firstLine="480" w:firstLineChars="2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470" w:firstLineChars="196"/>
        <w:rPr>
          <w:rFonts w:ascii="仿宋" w:hAnsi="仿宋"/>
          <w:bCs/>
          <w:color w:val="000000"/>
        </w:rPr>
      </w:pPr>
    </w:p>
    <w:p>
      <w:pPr>
        <w:pStyle w:val="21"/>
        <w:snapToGrid w:val="0"/>
        <w:spacing w:before="156" w:beforeLines="50" w:after="156" w:afterLines="50" w:line="360" w:lineRule="auto"/>
        <w:ind w:firstLine="480"/>
        <w:rPr>
          <w:rFonts w:ascii="仿宋" w:hAnsi="仿宋" w:eastAsia="仿宋" w:cs="仿宋"/>
          <w:bCs/>
          <w:sz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posOffset>2406015</wp:posOffset>
              </wp:positionH>
              <wp:positionV relativeFrom="paragraph">
                <wp:posOffset>139065</wp:posOffset>
              </wp:positionV>
              <wp:extent cx="1373505" cy="274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7350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5pt;margin-top:10.95pt;height:21.6pt;width:108.15pt;mso-position-horizontal-relative:margin;z-index:251659264;mso-width-relative:page;mso-height-relative:page;" filled="f" stroked="f" coordsize="21600,21600" o:gfxdata="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djNQ2QAAAAkBAAAPAAAAAAAAAAEAIAAAACIAAABkcnMvZG93bnJldi54&#10;bWxQSwECFAAUAAAACACHTuJASJg1czICAABWBAAADgAAAAAAAAABACAAAAAoAQAAZHJzL2Uyb0Rv&#10;Yy54bWxQSwUGAAAAAAYABgBZAQAAzAUAAAAA&#10;">
              <v:fill on="f" focussize="0,0"/>
              <v:stroke on="f" weight="0.5pt"/>
              <v:imagedata o:title=""/>
              <o:lock v:ext="edit" aspectratio="f"/>
              <v:textbox inset="0mm,0mm,0mm,0mm">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0" w:line="240" w:lineRule="auto"/>
      <w:jc w:val="left"/>
      <w:rPr>
        <w:sz w:val="28"/>
      </w:rPr>
    </w:pPr>
    <w:r>
      <w:rPr>
        <w:rFonts w:hint="eastAsia" w:ascii="仿宋" w:hAnsi="仿宋"/>
        <w:b/>
        <w:bCs/>
        <w:sz w:val="28"/>
        <w:szCs w:val="32"/>
        <w:lang w:val="en-US" w:eastAsia="zh-CN"/>
      </w:rPr>
      <w:t>注：本协议为模板，成交后将由转让方在本模板基础上进行补齐调整相关内容，形成最终版本，再由双方予以签订。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821B0E400002B68" w:val=" "/>
    <w:docVar w:name="68229D0B0000A074" w:val=" "/>
    <w:docVar w:name="6822AADB000095A0" w:val=" "/>
    <w:docVar w:name="commondata" w:val="eyJoZGlkIjoiZTQxMTZiYWYyOWRkMjY4ZTM1ZDQ2OWZiZjBiNTdjZDgifQ=="/>
  </w:docVars>
  <w:rsids>
    <w:rsidRoot w:val="F73FEFF9"/>
    <w:rsid w:val="000218FB"/>
    <w:rsid w:val="0002415A"/>
    <w:rsid w:val="00045A17"/>
    <w:rsid w:val="00051546"/>
    <w:rsid w:val="00087FD2"/>
    <w:rsid w:val="0009016D"/>
    <w:rsid w:val="000A2ADE"/>
    <w:rsid w:val="000B40FF"/>
    <w:rsid w:val="000B7780"/>
    <w:rsid w:val="000C65A0"/>
    <w:rsid w:val="000C780C"/>
    <w:rsid w:val="000D020A"/>
    <w:rsid w:val="000E30F4"/>
    <w:rsid w:val="000F758F"/>
    <w:rsid w:val="001012B7"/>
    <w:rsid w:val="00107E06"/>
    <w:rsid w:val="0012007E"/>
    <w:rsid w:val="001223B5"/>
    <w:rsid w:val="00133EDD"/>
    <w:rsid w:val="0013551F"/>
    <w:rsid w:val="00157E03"/>
    <w:rsid w:val="00171417"/>
    <w:rsid w:val="00177140"/>
    <w:rsid w:val="001A6F5F"/>
    <w:rsid w:val="00223BB5"/>
    <w:rsid w:val="002414AE"/>
    <w:rsid w:val="00277172"/>
    <w:rsid w:val="00282163"/>
    <w:rsid w:val="00296A9D"/>
    <w:rsid w:val="002A3769"/>
    <w:rsid w:val="002B0A14"/>
    <w:rsid w:val="002B6F12"/>
    <w:rsid w:val="002C096F"/>
    <w:rsid w:val="002C105B"/>
    <w:rsid w:val="002C71AB"/>
    <w:rsid w:val="002F6EBC"/>
    <w:rsid w:val="00300EAD"/>
    <w:rsid w:val="00302889"/>
    <w:rsid w:val="00353E91"/>
    <w:rsid w:val="00356870"/>
    <w:rsid w:val="0038475E"/>
    <w:rsid w:val="00390535"/>
    <w:rsid w:val="00397974"/>
    <w:rsid w:val="003E6CAA"/>
    <w:rsid w:val="00416901"/>
    <w:rsid w:val="00466348"/>
    <w:rsid w:val="00476C0A"/>
    <w:rsid w:val="00492147"/>
    <w:rsid w:val="004B5050"/>
    <w:rsid w:val="004D7395"/>
    <w:rsid w:val="004E5778"/>
    <w:rsid w:val="004E639C"/>
    <w:rsid w:val="004F6B67"/>
    <w:rsid w:val="005427DB"/>
    <w:rsid w:val="00564578"/>
    <w:rsid w:val="005702D6"/>
    <w:rsid w:val="005A4F13"/>
    <w:rsid w:val="005B540A"/>
    <w:rsid w:val="005D7056"/>
    <w:rsid w:val="005F7D9C"/>
    <w:rsid w:val="00611E8E"/>
    <w:rsid w:val="00626B83"/>
    <w:rsid w:val="00640058"/>
    <w:rsid w:val="00651546"/>
    <w:rsid w:val="00652A40"/>
    <w:rsid w:val="006678CB"/>
    <w:rsid w:val="00707490"/>
    <w:rsid w:val="007106C6"/>
    <w:rsid w:val="007240C6"/>
    <w:rsid w:val="0076384B"/>
    <w:rsid w:val="007E5BC8"/>
    <w:rsid w:val="007E797E"/>
    <w:rsid w:val="00813077"/>
    <w:rsid w:val="008179D4"/>
    <w:rsid w:val="00831280"/>
    <w:rsid w:val="008710DA"/>
    <w:rsid w:val="00881CF1"/>
    <w:rsid w:val="008933CE"/>
    <w:rsid w:val="008A659F"/>
    <w:rsid w:val="008D02B6"/>
    <w:rsid w:val="008D449B"/>
    <w:rsid w:val="00914B58"/>
    <w:rsid w:val="00920F5E"/>
    <w:rsid w:val="00941BD8"/>
    <w:rsid w:val="00941D4F"/>
    <w:rsid w:val="0097720E"/>
    <w:rsid w:val="00985EDF"/>
    <w:rsid w:val="009B2651"/>
    <w:rsid w:val="009B4111"/>
    <w:rsid w:val="009B42B5"/>
    <w:rsid w:val="009C2B71"/>
    <w:rsid w:val="009C7456"/>
    <w:rsid w:val="009D3200"/>
    <w:rsid w:val="009F0E15"/>
    <w:rsid w:val="009F1EA4"/>
    <w:rsid w:val="009F41FE"/>
    <w:rsid w:val="00A4149D"/>
    <w:rsid w:val="00A44E38"/>
    <w:rsid w:val="00A45011"/>
    <w:rsid w:val="00A563BB"/>
    <w:rsid w:val="00A676C1"/>
    <w:rsid w:val="00A714E4"/>
    <w:rsid w:val="00A85720"/>
    <w:rsid w:val="00A94D28"/>
    <w:rsid w:val="00AA0161"/>
    <w:rsid w:val="00AF2D3A"/>
    <w:rsid w:val="00AF5F35"/>
    <w:rsid w:val="00B008D4"/>
    <w:rsid w:val="00B11143"/>
    <w:rsid w:val="00B232AD"/>
    <w:rsid w:val="00B6154B"/>
    <w:rsid w:val="00B65E40"/>
    <w:rsid w:val="00B75675"/>
    <w:rsid w:val="00B96960"/>
    <w:rsid w:val="00BA7074"/>
    <w:rsid w:val="00BB7AB7"/>
    <w:rsid w:val="00BE464E"/>
    <w:rsid w:val="00C009CF"/>
    <w:rsid w:val="00C14A7E"/>
    <w:rsid w:val="00C223BD"/>
    <w:rsid w:val="00C34055"/>
    <w:rsid w:val="00C543D8"/>
    <w:rsid w:val="00C55BF9"/>
    <w:rsid w:val="00C56048"/>
    <w:rsid w:val="00C732A1"/>
    <w:rsid w:val="00C92AD4"/>
    <w:rsid w:val="00CA0654"/>
    <w:rsid w:val="00CA1E3B"/>
    <w:rsid w:val="00CB40AD"/>
    <w:rsid w:val="00CE7FE6"/>
    <w:rsid w:val="00D03159"/>
    <w:rsid w:val="00D34580"/>
    <w:rsid w:val="00D347AA"/>
    <w:rsid w:val="00D35160"/>
    <w:rsid w:val="00D52DD3"/>
    <w:rsid w:val="00D611B3"/>
    <w:rsid w:val="00D6225F"/>
    <w:rsid w:val="00D9188A"/>
    <w:rsid w:val="00DA0CC4"/>
    <w:rsid w:val="00E0051E"/>
    <w:rsid w:val="00E06E2B"/>
    <w:rsid w:val="00E13B64"/>
    <w:rsid w:val="00E1612E"/>
    <w:rsid w:val="00E20D62"/>
    <w:rsid w:val="00E50290"/>
    <w:rsid w:val="00E70A80"/>
    <w:rsid w:val="00EB3135"/>
    <w:rsid w:val="00EC61E8"/>
    <w:rsid w:val="00ED1D9A"/>
    <w:rsid w:val="00F13CFA"/>
    <w:rsid w:val="00F222DB"/>
    <w:rsid w:val="00F31C28"/>
    <w:rsid w:val="00F33537"/>
    <w:rsid w:val="00F343EC"/>
    <w:rsid w:val="00F37D85"/>
    <w:rsid w:val="00F77A88"/>
    <w:rsid w:val="00F9503D"/>
    <w:rsid w:val="00F96973"/>
    <w:rsid w:val="01487256"/>
    <w:rsid w:val="01564FF0"/>
    <w:rsid w:val="04D96B7B"/>
    <w:rsid w:val="065A5566"/>
    <w:rsid w:val="07705D89"/>
    <w:rsid w:val="08513C0E"/>
    <w:rsid w:val="086F51C7"/>
    <w:rsid w:val="0BBD3B55"/>
    <w:rsid w:val="0C8F0574"/>
    <w:rsid w:val="0CA004FC"/>
    <w:rsid w:val="0E343CF9"/>
    <w:rsid w:val="0EDF463B"/>
    <w:rsid w:val="1227728E"/>
    <w:rsid w:val="127A1044"/>
    <w:rsid w:val="12A0133A"/>
    <w:rsid w:val="139E7CA3"/>
    <w:rsid w:val="14724C7A"/>
    <w:rsid w:val="16012F52"/>
    <w:rsid w:val="17D970A3"/>
    <w:rsid w:val="187F7F37"/>
    <w:rsid w:val="192F0DDA"/>
    <w:rsid w:val="193C199E"/>
    <w:rsid w:val="197C1926"/>
    <w:rsid w:val="19FEADDB"/>
    <w:rsid w:val="1BE73FBB"/>
    <w:rsid w:val="1E666DD2"/>
    <w:rsid w:val="1F1549CB"/>
    <w:rsid w:val="1F321179"/>
    <w:rsid w:val="1F6347FA"/>
    <w:rsid w:val="1FAE123C"/>
    <w:rsid w:val="1FF7EB1E"/>
    <w:rsid w:val="229F3BAA"/>
    <w:rsid w:val="22E93AA1"/>
    <w:rsid w:val="265C333C"/>
    <w:rsid w:val="27734537"/>
    <w:rsid w:val="27B22553"/>
    <w:rsid w:val="28937E4C"/>
    <w:rsid w:val="29FB7111"/>
    <w:rsid w:val="2B322AEA"/>
    <w:rsid w:val="2CBE44F7"/>
    <w:rsid w:val="2D720C14"/>
    <w:rsid w:val="2EA33256"/>
    <w:rsid w:val="2ECFBE4E"/>
    <w:rsid w:val="2EDC593F"/>
    <w:rsid w:val="2EE5A9AB"/>
    <w:rsid w:val="2F1550CC"/>
    <w:rsid w:val="2FB7355C"/>
    <w:rsid w:val="302D7584"/>
    <w:rsid w:val="3070392A"/>
    <w:rsid w:val="324918A3"/>
    <w:rsid w:val="32A8249C"/>
    <w:rsid w:val="32D14858"/>
    <w:rsid w:val="335F2AF4"/>
    <w:rsid w:val="34173B75"/>
    <w:rsid w:val="349C3A1B"/>
    <w:rsid w:val="35FC7E3E"/>
    <w:rsid w:val="378639FD"/>
    <w:rsid w:val="37CFDF93"/>
    <w:rsid w:val="37E641C2"/>
    <w:rsid w:val="38E05428"/>
    <w:rsid w:val="39184F8F"/>
    <w:rsid w:val="3BFA166F"/>
    <w:rsid w:val="3C3FD04C"/>
    <w:rsid w:val="3D142B74"/>
    <w:rsid w:val="3D3E608A"/>
    <w:rsid w:val="3D9A5AF7"/>
    <w:rsid w:val="3EDC95BF"/>
    <w:rsid w:val="3FCFFE86"/>
    <w:rsid w:val="3FF32439"/>
    <w:rsid w:val="409543A1"/>
    <w:rsid w:val="41B57072"/>
    <w:rsid w:val="461D20E4"/>
    <w:rsid w:val="468A6DA0"/>
    <w:rsid w:val="47197EA8"/>
    <w:rsid w:val="487A1C66"/>
    <w:rsid w:val="48E704DA"/>
    <w:rsid w:val="4A121024"/>
    <w:rsid w:val="4AD45EAB"/>
    <w:rsid w:val="4BAB5422"/>
    <w:rsid w:val="50E840D1"/>
    <w:rsid w:val="55BB1621"/>
    <w:rsid w:val="57A06A52"/>
    <w:rsid w:val="58A67A6A"/>
    <w:rsid w:val="591D4ED9"/>
    <w:rsid w:val="59D5605C"/>
    <w:rsid w:val="59FC670E"/>
    <w:rsid w:val="5ADF1011"/>
    <w:rsid w:val="5BB30F7E"/>
    <w:rsid w:val="5BBA5F6B"/>
    <w:rsid w:val="5BD12E14"/>
    <w:rsid w:val="5BEBA761"/>
    <w:rsid w:val="5C2557AE"/>
    <w:rsid w:val="5D162F31"/>
    <w:rsid w:val="5E2FA5F8"/>
    <w:rsid w:val="5EB453B8"/>
    <w:rsid w:val="5FBC6B15"/>
    <w:rsid w:val="5FCC7229"/>
    <w:rsid w:val="5FFFA97D"/>
    <w:rsid w:val="5FFFD2EB"/>
    <w:rsid w:val="622E5362"/>
    <w:rsid w:val="671463C0"/>
    <w:rsid w:val="69C30066"/>
    <w:rsid w:val="6BDA6CD7"/>
    <w:rsid w:val="6C2A36BF"/>
    <w:rsid w:val="6C6253ED"/>
    <w:rsid w:val="6D331FE2"/>
    <w:rsid w:val="6D5C2771"/>
    <w:rsid w:val="6E2E4E86"/>
    <w:rsid w:val="6EBB57B5"/>
    <w:rsid w:val="6F3F6785"/>
    <w:rsid w:val="6F4D5552"/>
    <w:rsid w:val="6F9B50FD"/>
    <w:rsid w:val="6FA3DA27"/>
    <w:rsid w:val="70910C6F"/>
    <w:rsid w:val="70FF1FB5"/>
    <w:rsid w:val="71F73666"/>
    <w:rsid w:val="7306237D"/>
    <w:rsid w:val="73F96D3F"/>
    <w:rsid w:val="73FD9EA8"/>
    <w:rsid w:val="74150276"/>
    <w:rsid w:val="747311CE"/>
    <w:rsid w:val="75E98816"/>
    <w:rsid w:val="763B31A3"/>
    <w:rsid w:val="76BD53E3"/>
    <w:rsid w:val="76E79C8A"/>
    <w:rsid w:val="77D73F84"/>
    <w:rsid w:val="77FF518A"/>
    <w:rsid w:val="786848E4"/>
    <w:rsid w:val="79F160B9"/>
    <w:rsid w:val="79F58EB2"/>
    <w:rsid w:val="7A0D188B"/>
    <w:rsid w:val="7A4C153F"/>
    <w:rsid w:val="7AD7B793"/>
    <w:rsid w:val="7AFBBF61"/>
    <w:rsid w:val="7BA008B4"/>
    <w:rsid w:val="7BE7A0BB"/>
    <w:rsid w:val="7BFF781C"/>
    <w:rsid w:val="7BFFED2E"/>
    <w:rsid w:val="7C2B1A5B"/>
    <w:rsid w:val="7C7F2BCB"/>
    <w:rsid w:val="7CBA9924"/>
    <w:rsid w:val="7CF7C823"/>
    <w:rsid w:val="7D5C16AE"/>
    <w:rsid w:val="7D777878"/>
    <w:rsid w:val="7DCD3FC0"/>
    <w:rsid w:val="7DF34A69"/>
    <w:rsid w:val="7E09BE0C"/>
    <w:rsid w:val="7EB66A75"/>
    <w:rsid w:val="7EBFDB9E"/>
    <w:rsid w:val="7EDB80C2"/>
    <w:rsid w:val="7EDD7715"/>
    <w:rsid w:val="7EFB1A56"/>
    <w:rsid w:val="7EFF7CD4"/>
    <w:rsid w:val="7F0F5AB9"/>
    <w:rsid w:val="7F296B2D"/>
    <w:rsid w:val="7F3B6E8A"/>
    <w:rsid w:val="7F5DCEE2"/>
    <w:rsid w:val="7F5E9ED7"/>
    <w:rsid w:val="7FB9E51B"/>
    <w:rsid w:val="7FCC40D0"/>
    <w:rsid w:val="7FD107AD"/>
    <w:rsid w:val="7FD5E2EC"/>
    <w:rsid w:val="7FD6BCE3"/>
    <w:rsid w:val="7FDD0B03"/>
    <w:rsid w:val="7FDEEBCD"/>
    <w:rsid w:val="7FF6D885"/>
    <w:rsid w:val="7FFF4664"/>
    <w:rsid w:val="8DFB1A35"/>
    <w:rsid w:val="8FEC968F"/>
    <w:rsid w:val="96FFD671"/>
    <w:rsid w:val="98F7721C"/>
    <w:rsid w:val="A7BB9B09"/>
    <w:rsid w:val="AFFFD3F5"/>
    <w:rsid w:val="B8EF4378"/>
    <w:rsid w:val="BBDFF76B"/>
    <w:rsid w:val="BCEA21F6"/>
    <w:rsid w:val="BEDF9BDC"/>
    <w:rsid w:val="BF2BC149"/>
    <w:rsid w:val="BF7C6555"/>
    <w:rsid w:val="BFFFC091"/>
    <w:rsid w:val="CDFBD8E4"/>
    <w:rsid w:val="CFDE052D"/>
    <w:rsid w:val="D7BB96F4"/>
    <w:rsid w:val="D7EFE47D"/>
    <w:rsid w:val="D7FFB511"/>
    <w:rsid w:val="D7FFD379"/>
    <w:rsid w:val="DB7B48E9"/>
    <w:rsid w:val="DBBF6917"/>
    <w:rsid w:val="DDFEDAE3"/>
    <w:rsid w:val="DF0751A6"/>
    <w:rsid w:val="DF3F118F"/>
    <w:rsid w:val="DFF77A74"/>
    <w:rsid w:val="E5F75D95"/>
    <w:rsid w:val="EBEFC44A"/>
    <w:rsid w:val="EDE7E494"/>
    <w:rsid w:val="EFAC15DB"/>
    <w:rsid w:val="EFE96920"/>
    <w:rsid w:val="F1FB9874"/>
    <w:rsid w:val="F3BD6BD3"/>
    <w:rsid w:val="F73FEFF9"/>
    <w:rsid w:val="F76E6560"/>
    <w:rsid w:val="F7ED78D5"/>
    <w:rsid w:val="F9CF9D96"/>
    <w:rsid w:val="FA7D68B6"/>
    <w:rsid w:val="FBFD8C57"/>
    <w:rsid w:val="FCFE779B"/>
    <w:rsid w:val="FD7F8CCD"/>
    <w:rsid w:val="FDB613DC"/>
    <w:rsid w:val="FDCE35B0"/>
    <w:rsid w:val="FDF1981D"/>
    <w:rsid w:val="FDFDF62B"/>
    <w:rsid w:val="FF3FD6C6"/>
    <w:rsid w:val="FF7CD624"/>
    <w:rsid w:val="FF7F0D00"/>
    <w:rsid w:val="FFB7FB1F"/>
    <w:rsid w:val="FFE2FF53"/>
    <w:rsid w:val="FFE798EF"/>
    <w:rsid w:val="FFFCC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19"/>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annotation subject"/>
    <w:basedOn w:val="2"/>
    <w:next w:val="2"/>
    <w:link w:val="27"/>
    <w:qFormat/>
    <w:uiPriority w:val="0"/>
    <w:rPr>
      <w:b/>
      <w:bCs/>
    </w:rPr>
  </w:style>
  <w:style w:type="character" w:styleId="10">
    <w:name w:val="page number"/>
    <w:qFormat/>
    <w:uiPriority w:val="0"/>
  </w:style>
  <w:style w:type="character" w:styleId="11">
    <w:name w:val="annotation reference"/>
    <w:basedOn w:val="9"/>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5">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16">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17">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18">
    <w:name w:val="批注文字 字符"/>
    <w:basedOn w:val="9"/>
    <w:link w:val="2"/>
    <w:qFormat/>
    <w:uiPriority w:val="99"/>
    <w:rPr>
      <w:rFonts w:ascii="Times New Roman" w:hAnsi="Times New Roman" w:eastAsia="仿宋" w:cs="Times New Roman"/>
      <w:kern w:val="2"/>
      <w:sz w:val="24"/>
      <w:szCs w:val="24"/>
    </w:rPr>
  </w:style>
  <w:style w:type="character" w:customStyle="1" w:styleId="19">
    <w:name w:val="标题 1 字符"/>
    <w:link w:val="3"/>
    <w:qFormat/>
    <w:uiPriority w:val="0"/>
    <w:rPr>
      <w:rFonts w:ascii="Times New Roman" w:hAnsi="Times New Roman" w:eastAsia="仿宋" w:cs="Times New Roman"/>
      <w:b/>
      <w:bCs/>
      <w:color w:val="000000"/>
      <w:kern w:val="2"/>
      <w:sz w:val="24"/>
      <w:szCs w:val="24"/>
    </w:rPr>
  </w:style>
  <w:style w:type="paragraph" w:customStyle="1" w:styleId="20">
    <w:name w:val="修订7"/>
    <w:hidden/>
    <w:semiHidden/>
    <w:qFormat/>
    <w:uiPriority w:val="99"/>
    <w:rPr>
      <w:rFonts w:ascii="Times New Roman" w:hAnsi="Times New Roman" w:eastAsia="仿宋" w:cs="Times New Roman"/>
      <w:kern w:val="2"/>
      <w:sz w:val="24"/>
      <w:szCs w:val="24"/>
      <w:lang w:val="en-US" w:eastAsia="zh-CN" w:bidi="ar-SA"/>
    </w:rPr>
  </w:style>
  <w:style w:type="paragraph" w:styleId="21">
    <w:name w:val="List Paragraph"/>
    <w:basedOn w:val="1"/>
    <w:qFormat/>
    <w:uiPriority w:val="0"/>
    <w:pPr>
      <w:ind w:firstLine="420" w:firstLineChars="200"/>
    </w:pPr>
    <w:rPr>
      <w:rFonts w:eastAsia="宋体"/>
      <w:sz w:val="21"/>
    </w:rPr>
  </w:style>
  <w:style w:type="paragraph" w:customStyle="1" w:styleId="22">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3">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4">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25">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26">
    <w:name w:val="修订12"/>
    <w:hidden/>
    <w:semiHidden/>
    <w:qFormat/>
    <w:uiPriority w:val="99"/>
    <w:rPr>
      <w:rFonts w:ascii="Times New Roman" w:hAnsi="Times New Roman" w:eastAsia="仿宋" w:cs="Times New Roman"/>
      <w:kern w:val="2"/>
      <w:sz w:val="24"/>
      <w:szCs w:val="24"/>
      <w:lang w:val="en-US" w:eastAsia="zh-CN" w:bidi="ar-SA"/>
    </w:rPr>
  </w:style>
  <w:style w:type="character" w:customStyle="1" w:styleId="27">
    <w:name w:val="批注主题 字符"/>
    <w:basedOn w:val="18"/>
    <w:link w:val="7"/>
    <w:qFormat/>
    <w:uiPriority w:val="0"/>
    <w:rPr>
      <w:rFonts w:ascii="Times New Roman" w:hAnsi="Times New Roman" w:eastAsia="仿宋" w:cs="Times New Roman"/>
      <w:b/>
      <w:bCs/>
      <w:kern w:val="2"/>
      <w:sz w:val="24"/>
      <w:szCs w:val="24"/>
    </w:rPr>
  </w:style>
  <w:style w:type="paragraph" w:customStyle="1" w:styleId="28">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29">
    <w:name w:val="Revision"/>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msolist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28374</Words>
  <Characters>29053</Characters>
  <Lines>223</Lines>
  <Paragraphs>62</Paragraphs>
  <TotalTime>1</TotalTime>
  <ScaleCrop>false</ScaleCrop>
  <LinksUpToDate>false</LinksUpToDate>
  <CharactersWithSpaces>30417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2022-09-07T03:43:00Z</dcterms:created>
  <dc:creator>GT</dc:creator>
  <cp:lastModifiedBy>吴笛</cp:lastModifiedBy>
  <dcterms:modified xsi:type="dcterms:W3CDTF">2025-05-14T07:45:44Z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F6AAAADC80304C5DB9178A74A4A42A67</vt:lpwstr>
  </property>
</Properties>
</file>